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252" w:rsidRPr="00430289" w:rsidRDefault="00242252" w:rsidP="00AA20E7">
      <w:pPr>
        <w:pStyle w:val="Textoindependiente"/>
        <w:widowControl w:val="0"/>
        <w:tabs>
          <w:tab w:val="left" w:pos="2410"/>
          <w:tab w:val="left" w:pos="3544"/>
          <w:tab w:val="left" w:pos="5954"/>
          <w:tab w:val="left" w:pos="6946"/>
        </w:tabs>
        <w:suppressAutoHyphens/>
        <w:spacing w:after="0" w:line="240" w:lineRule="auto"/>
        <w:ind w:left="3402" w:right="2551" w:hanging="992"/>
        <w:jc w:val="both"/>
        <w:rPr>
          <w:rFonts w:ascii="Tahoma" w:hAnsi="Tahoma" w:cs="Tahoma"/>
          <w:i/>
          <w:sz w:val="20"/>
          <w:szCs w:val="20"/>
          <w:lang w:val="es-PE"/>
        </w:rPr>
      </w:pPr>
      <w:r w:rsidRPr="00AA20E7">
        <w:rPr>
          <w:rFonts w:ascii="Tahoma" w:hAnsi="Tahoma" w:cs="Tahoma"/>
          <w:b/>
          <w:i/>
          <w:sz w:val="20"/>
          <w:szCs w:val="20"/>
        </w:rPr>
        <w:t xml:space="preserve">Sumilla: </w:t>
      </w:r>
      <w:r w:rsidR="00430289">
        <w:rPr>
          <w:rFonts w:ascii="Tahoma" w:hAnsi="Tahoma" w:cs="Tahoma"/>
          <w:b/>
          <w:i/>
          <w:sz w:val="20"/>
          <w:szCs w:val="20"/>
        </w:rPr>
        <w:t xml:space="preserve"> </w:t>
      </w:r>
      <w:r w:rsidR="00E52A77" w:rsidRPr="00430289">
        <w:rPr>
          <w:rFonts w:ascii="Tahoma" w:hAnsi="Tahoma" w:cs="Tahoma"/>
          <w:i/>
          <w:sz w:val="20"/>
          <w:szCs w:val="20"/>
        </w:rPr>
        <w:t>Una vez que la Entidad elige al proveedor que cumple las características establecidas en las Bases y le comunica su decisión de contratar con él, se ha configurado la oferta y la aceptación, por lo que corresponde que ambas partes se avoquen a suscribir el contrato respectivo dentro del plazo previsto por la Entidad</w:t>
      </w:r>
      <w:r w:rsidRPr="00430289">
        <w:rPr>
          <w:rFonts w:ascii="Tahoma" w:hAnsi="Tahoma" w:cs="Tahoma"/>
          <w:i/>
          <w:sz w:val="20"/>
          <w:szCs w:val="20"/>
        </w:rPr>
        <w:t>.</w:t>
      </w:r>
    </w:p>
    <w:p w:rsidR="00242252" w:rsidRPr="00AA20E7" w:rsidRDefault="00242252" w:rsidP="00AA20E7">
      <w:pPr>
        <w:pStyle w:val="Textoindependiente3"/>
        <w:spacing w:after="0"/>
        <w:ind w:left="4248" w:right="179" w:firstLine="708"/>
        <w:jc w:val="both"/>
        <w:rPr>
          <w:rFonts w:ascii="Tahoma" w:hAnsi="Tahoma" w:cs="Tahoma"/>
          <w:b/>
          <w:sz w:val="20"/>
          <w:szCs w:val="20"/>
        </w:rPr>
      </w:pPr>
    </w:p>
    <w:p w:rsidR="00242252" w:rsidRPr="00AA20E7" w:rsidRDefault="00242252" w:rsidP="00AA20E7">
      <w:pPr>
        <w:pStyle w:val="Textoindependiente3"/>
        <w:spacing w:after="0"/>
        <w:ind w:left="4248" w:right="179" w:firstLine="708"/>
        <w:jc w:val="both"/>
        <w:rPr>
          <w:rFonts w:ascii="Tahoma" w:hAnsi="Tahoma" w:cs="Tahoma"/>
          <w:sz w:val="20"/>
          <w:szCs w:val="20"/>
        </w:rPr>
      </w:pPr>
      <w:r w:rsidRPr="00AA20E7">
        <w:rPr>
          <w:rFonts w:ascii="Tahoma" w:hAnsi="Tahoma" w:cs="Tahoma"/>
          <w:b/>
          <w:sz w:val="20"/>
          <w:szCs w:val="20"/>
        </w:rPr>
        <w:t>Lima</w:t>
      </w:r>
      <w:r w:rsidRPr="00AA20E7">
        <w:rPr>
          <w:rFonts w:ascii="Tahoma" w:hAnsi="Tahoma" w:cs="Tahoma"/>
          <w:sz w:val="20"/>
          <w:szCs w:val="20"/>
        </w:rPr>
        <w:t xml:space="preserve">, </w:t>
      </w:r>
      <w:r w:rsidR="0026437F">
        <w:rPr>
          <w:rFonts w:ascii="Tahoma" w:hAnsi="Tahoma" w:cs="Tahoma"/>
          <w:sz w:val="20"/>
          <w:szCs w:val="20"/>
        </w:rPr>
        <w:t>08 de Junio de 2011</w:t>
      </w:r>
    </w:p>
    <w:p w:rsidR="00242252" w:rsidRPr="00AA20E7" w:rsidRDefault="00242252" w:rsidP="00AA20E7">
      <w:pPr>
        <w:pStyle w:val="Textoindependiente3"/>
        <w:spacing w:after="0"/>
        <w:jc w:val="both"/>
        <w:rPr>
          <w:rFonts w:ascii="Tahoma" w:hAnsi="Tahoma" w:cs="Tahoma"/>
          <w:sz w:val="20"/>
          <w:szCs w:val="20"/>
        </w:rPr>
      </w:pPr>
    </w:p>
    <w:p w:rsidR="00242252" w:rsidRPr="00AA20E7" w:rsidRDefault="00242252" w:rsidP="00AA20E7">
      <w:pPr>
        <w:spacing w:after="0" w:line="240" w:lineRule="auto"/>
        <w:jc w:val="both"/>
        <w:rPr>
          <w:rFonts w:ascii="Tahoma" w:hAnsi="Tahoma" w:cs="Tahoma"/>
          <w:sz w:val="20"/>
          <w:szCs w:val="20"/>
        </w:rPr>
      </w:pPr>
      <w:r w:rsidRPr="00AA20E7">
        <w:rPr>
          <w:rFonts w:ascii="Tahoma" w:hAnsi="Tahoma" w:cs="Tahoma"/>
          <w:b/>
          <w:sz w:val="20"/>
          <w:szCs w:val="20"/>
        </w:rPr>
        <w:t>VISTO</w:t>
      </w:r>
      <w:r w:rsidRPr="00AA20E7">
        <w:rPr>
          <w:rFonts w:ascii="Tahoma" w:hAnsi="Tahoma" w:cs="Tahoma"/>
          <w:sz w:val="20"/>
          <w:szCs w:val="20"/>
        </w:rPr>
        <w:t xml:space="preserve"> en sesión de fecha </w:t>
      </w:r>
      <w:r w:rsidR="00AA20E7" w:rsidRPr="00AA20E7">
        <w:rPr>
          <w:rFonts w:ascii="Tahoma" w:hAnsi="Tahoma" w:cs="Tahoma"/>
          <w:sz w:val="20"/>
          <w:szCs w:val="20"/>
        </w:rPr>
        <w:t>08</w:t>
      </w:r>
      <w:r w:rsidRPr="00AA20E7">
        <w:rPr>
          <w:rFonts w:ascii="Tahoma" w:hAnsi="Tahoma" w:cs="Tahoma"/>
          <w:sz w:val="20"/>
          <w:szCs w:val="20"/>
        </w:rPr>
        <w:t xml:space="preserve"> de junio de 2011 de la Primera Sala del Tribunal de Contrataciones del Estado el Expediente № 1</w:t>
      </w:r>
      <w:r w:rsidR="00AA20E7" w:rsidRPr="00AA20E7">
        <w:rPr>
          <w:rFonts w:ascii="Tahoma" w:hAnsi="Tahoma" w:cs="Tahoma"/>
          <w:sz w:val="20"/>
          <w:szCs w:val="20"/>
        </w:rPr>
        <w:t>655</w:t>
      </w:r>
      <w:r w:rsidRPr="00AA20E7">
        <w:rPr>
          <w:rFonts w:ascii="Tahoma" w:hAnsi="Tahoma" w:cs="Tahoma"/>
          <w:sz w:val="20"/>
          <w:szCs w:val="20"/>
        </w:rPr>
        <w:t xml:space="preserve">/2010.TC, sobre el procedimiento administrativo sancionador contra la empresa </w:t>
      </w:r>
      <w:r w:rsidR="00E52A77" w:rsidRPr="00AA20E7">
        <w:rPr>
          <w:rFonts w:ascii="Tahoma" w:hAnsi="Tahoma" w:cs="Tahoma"/>
          <w:sz w:val="20"/>
          <w:szCs w:val="20"/>
        </w:rPr>
        <w:t>BIENES Y MULTISERVICIOS INTEGRANTES S.A.C.</w:t>
      </w:r>
      <w:r w:rsidRPr="00AA20E7">
        <w:rPr>
          <w:rFonts w:ascii="Tahoma" w:hAnsi="Tahoma" w:cs="Tahoma"/>
          <w:sz w:val="20"/>
          <w:szCs w:val="20"/>
        </w:rPr>
        <w:t xml:space="preserve">, </w:t>
      </w:r>
      <w:r w:rsidRPr="00AA20E7">
        <w:rPr>
          <w:rFonts w:ascii="Tahoma" w:hAnsi="Tahoma" w:cs="Tahoma"/>
          <w:sz w:val="20"/>
          <w:szCs w:val="20"/>
          <w:lang w:val="es-MX"/>
        </w:rPr>
        <w:t xml:space="preserve">por </w:t>
      </w:r>
      <w:r w:rsidR="00E52A77">
        <w:rPr>
          <w:rFonts w:ascii="Tahoma" w:hAnsi="Tahoma" w:cs="Tahoma"/>
          <w:sz w:val="20"/>
          <w:szCs w:val="20"/>
          <w:lang w:val="es-MX"/>
        </w:rPr>
        <w:t>no haber suscrito injustificadamente el contrato derivado del proceso de</w:t>
      </w:r>
      <w:r w:rsidR="00E52A77" w:rsidRPr="00AA20E7">
        <w:rPr>
          <w:rFonts w:ascii="Tahoma" w:hAnsi="Tahoma" w:cs="Tahoma"/>
          <w:sz w:val="20"/>
          <w:szCs w:val="20"/>
        </w:rPr>
        <w:t xml:space="preserve"> Exoneración Nº 014-2010-RENIEC</w:t>
      </w:r>
      <w:r w:rsidR="00E52A77">
        <w:rPr>
          <w:rFonts w:ascii="Tahoma" w:hAnsi="Tahoma" w:cs="Tahoma"/>
          <w:sz w:val="20"/>
          <w:szCs w:val="20"/>
        </w:rPr>
        <w:t xml:space="preserve">, efectuado por el </w:t>
      </w:r>
      <w:r w:rsidR="00E52A77" w:rsidRPr="00AA20E7">
        <w:rPr>
          <w:rFonts w:ascii="Tahoma" w:hAnsi="Tahoma" w:cs="Tahoma"/>
          <w:sz w:val="20"/>
          <w:szCs w:val="20"/>
        </w:rPr>
        <w:t>Registro Nacional de Identificación y Estado Civil- RENIEC</w:t>
      </w:r>
      <w:r w:rsidR="00E52A77">
        <w:rPr>
          <w:rFonts w:ascii="Tahoma" w:hAnsi="Tahoma" w:cs="Tahoma"/>
          <w:sz w:val="20"/>
          <w:szCs w:val="20"/>
        </w:rPr>
        <w:t xml:space="preserve">, </w:t>
      </w:r>
      <w:r w:rsidR="00E52A77" w:rsidRPr="00AA20E7">
        <w:rPr>
          <w:rFonts w:ascii="Tahoma" w:hAnsi="Tahoma" w:cs="Tahoma"/>
          <w:sz w:val="20"/>
          <w:szCs w:val="20"/>
        </w:rPr>
        <w:t>para la adquisición de 643 lectoras de código de barra</w:t>
      </w:r>
      <w:r w:rsidR="00E52A77">
        <w:rPr>
          <w:rFonts w:ascii="Tahoma" w:hAnsi="Tahoma" w:cs="Tahoma"/>
          <w:sz w:val="20"/>
          <w:szCs w:val="20"/>
        </w:rPr>
        <w:t>, oídos los informes orales en la audiencia pública de fecha 02 de junio de 2011</w:t>
      </w:r>
      <w:r w:rsidRPr="00AA20E7">
        <w:rPr>
          <w:rFonts w:ascii="Tahoma" w:hAnsi="Tahoma" w:cs="Tahoma"/>
          <w:sz w:val="20"/>
          <w:szCs w:val="20"/>
        </w:rPr>
        <w:t xml:space="preserve">; y, atendiendo a los siguientes:   </w:t>
      </w:r>
    </w:p>
    <w:p w:rsidR="00242252" w:rsidRPr="00AA20E7" w:rsidRDefault="00242252" w:rsidP="00AA20E7">
      <w:pPr>
        <w:spacing w:after="0" w:line="240" w:lineRule="auto"/>
        <w:ind w:right="45"/>
        <w:jc w:val="both"/>
        <w:rPr>
          <w:rFonts w:ascii="Tahoma" w:hAnsi="Tahoma" w:cs="Tahoma"/>
          <w:sz w:val="20"/>
          <w:szCs w:val="20"/>
        </w:rPr>
      </w:pPr>
    </w:p>
    <w:p w:rsidR="00242252" w:rsidRPr="00AA20E7" w:rsidRDefault="00242252" w:rsidP="00AA20E7">
      <w:pPr>
        <w:pStyle w:val="Ttulo2"/>
        <w:jc w:val="both"/>
        <w:rPr>
          <w:rFonts w:cs="Tahoma"/>
          <w:sz w:val="20"/>
        </w:rPr>
      </w:pPr>
      <w:r w:rsidRPr="00AA20E7">
        <w:rPr>
          <w:rFonts w:cs="Tahoma"/>
          <w:sz w:val="20"/>
        </w:rPr>
        <w:t>ANTECEDENTES:</w:t>
      </w:r>
    </w:p>
    <w:p w:rsidR="00AA20E7" w:rsidRDefault="00AA20E7" w:rsidP="00AA20E7">
      <w:pPr>
        <w:spacing w:after="0" w:line="240" w:lineRule="auto"/>
        <w:ind w:left="540"/>
        <w:jc w:val="both"/>
        <w:rPr>
          <w:rFonts w:ascii="Tahoma" w:hAnsi="Tahoma" w:cs="Tahoma"/>
          <w:sz w:val="20"/>
          <w:szCs w:val="20"/>
        </w:rPr>
      </w:pPr>
    </w:p>
    <w:p w:rsid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 xml:space="preserve">El 09 de septiembre de 2010, el Registro Nacional de Identificación y Estado Civil- RENIEC, en adelante la Entidad, convocó el proceso de Exoneración Nº 014-2010-RENIEC, para la adquisición de 643 lectoras de código de barra, con un valor referencial de S/. 417,950.00 Nuevos Soles. </w:t>
      </w:r>
    </w:p>
    <w:p w:rsidR="00AA20E7" w:rsidRDefault="00AA20E7" w:rsidP="00AA20E7">
      <w:pPr>
        <w:spacing w:after="0" w:line="240" w:lineRule="auto"/>
        <w:ind w:left="540"/>
        <w:jc w:val="both"/>
        <w:rPr>
          <w:rFonts w:ascii="Tahoma" w:hAnsi="Tahoma" w:cs="Tahoma"/>
          <w:sz w:val="20"/>
          <w:szCs w:val="20"/>
        </w:rPr>
      </w:pPr>
    </w:p>
    <w:p w:rsidR="00242252" w:rsidRPr="00AA20E7" w:rsidRDefault="00242252" w:rsidP="00AA20E7">
      <w:pPr>
        <w:spacing w:after="0" w:line="240" w:lineRule="auto"/>
        <w:ind w:left="540"/>
        <w:jc w:val="both"/>
        <w:rPr>
          <w:rFonts w:ascii="Tahoma" w:hAnsi="Tahoma" w:cs="Tahoma"/>
          <w:sz w:val="20"/>
          <w:szCs w:val="20"/>
        </w:rPr>
      </w:pPr>
      <w:r w:rsidRPr="00AA20E7">
        <w:rPr>
          <w:rFonts w:ascii="Tahoma" w:hAnsi="Tahoma" w:cs="Tahoma"/>
          <w:sz w:val="20"/>
          <w:szCs w:val="20"/>
        </w:rPr>
        <w:t>En la misma fecha, se verificó que la propuesta técnica presentada por la empresa BIENES Y MULTISERVICIOS INTEGRANTES S.A.C., en adelante el Postor, cumplió con presentar la información solicitada y luego de verificar su propuesta económica ascendente a S/. 417,950.00 Nuevos Soles se dispuso adjudicarle la buena pro.</w:t>
      </w:r>
    </w:p>
    <w:p w:rsidR="00AA20E7" w:rsidRDefault="00AA20E7" w:rsidP="00AA20E7">
      <w:pPr>
        <w:spacing w:after="0" w:line="240" w:lineRule="auto"/>
        <w:ind w:left="540"/>
        <w:jc w:val="both"/>
        <w:rPr>
          <w:rFonts w:ascii="Tahoma" w:hAnsi="Tahoma" w:cs="Tahoma"/>
          <w:sz w:val="20"/>
          <w:szCs w:val="20"/>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Con Carta Nº 251-2010/GAD/SGLG/RENIEC  de fecha 13 de septiembre de 2010, la Entidad le requirió la presentación de la documentación para la suscripción del contrato, dentro de un plazo máximo de cinco (5) días hábiles, el cual vencía el 20 de septiembre del mismo año.</w:t>
      </w:r>
    </w:p>
    <w:p w:rsidR="00AA20E7" w:rsidRDefault="00AA20E7" w:rsidP="00AA20E7">
      <w:pPr>
        <w:spacing w:after="0" w:line="240" w:lineRule="auto"/>
        <w:ind w:left="540"/>
        <w:jc w:val="both"/>
        <w:rPr>
          <w:rFonts w:ascii="Tahoma" w:hAnsi="Tahoma" w:cs="Tahoma"/>
          <w:sz w:val="20"/>
          <w:szCs w:val="20"/>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Mediante Carta Nº 000428-2010/GAD/RENIEC de fecha 22 de septiembre de 2010, al no haber cumplido el Postor con apersonarse a la Entidad para la firma del Contrato, se le comunicó la pérdida automática de la buena pro.</w:t>
      </w:r>
    </w:p>
    <w:p w:rsidR="00242252" w:rsidRPr="00AA20E7" w:rsidRDefault="00242252" w:rsidP="00AA20E7">
      <w:pPr>
        <w:pStyle w:val="Prrafodelista"/>
        <w:jc w:val="both"/>
        <w:rPr>
          <w:rFonts w:ascii="Tahoma" w:hAnsi="Tahoma" w:cs="Tahoma"/>
          <w:sz w:val="20"/>
          <w:lang w:val="es-ES"/>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Con Carta Notarial de fecha 22 de septiembre de 2010, el Postor presentó a la Entidad las disculpas por no suscribir el contrato y manifestó su renuncia al indicado proceso de selección.</w:t>
      </w:r>
    </w:p>
    <w:p w:rsidR="00242252" w:rsidRPr="00AA20E7" w:rsidRDefault="00242252" w:rsidP="00AA20E7">
      <w:pPr>
        <w:pStyle w:val="Prrafodelista"/>
        <w:jc w:val="both"/>
        <w:rPr>
          <w:rFonts w:ascii="Tahoma" w:hAnsi="Tahoma" w:cs="Tahoma"/>
          <w:sz w:val="20"/>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lastRenderedPageBreak/>
        <w:t>Con escrito de fecha 17 de noviembre de 2010, la Entidad puso en conocimiento de este Colegiado los hechos expuestos, y adjuntó el Informe Nº 001883-2010/GAJ/RENIEC en el cual concluyó la responsabilidad del Postor.</w:t>
      </w:r>
    </w:p>
    <w:p w:rsidR="00E52A77" w:rsidRDefault="00E52A77" w:rsidP="00E52A77">
      <w:pPr>
        <w:spacing w:after="0" w:line="240" w:lineRule="auto"/>
        <w:ind w:left="540"/>
        <w:jc w:val="both"/>
        <w:rPr>
          <w:rFonts w:ascii="Tahoma" w:hAnsi="Tahoma" w:cs="Tahoma"/>
          <w:sz w:val="20"/>
          <w:szCs w:val="20"/>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Por Decreto del 22 de noviembre de 2010, debidamente notificado el 20 de enero de 2011, el Tribunal inició procedimiento administrativo sancionador al Postor por supuesta responsabilidad en no haber suscrito el Contrato derivado de la Exoneración Nº 014-2010-RENIEC, infracción tipificada en el numeral 1) literal a) del artículo 51 de la Ley y 237 del Reglamento. En atención a ello, se le emplazó para que formule sus descargos dentro del plazo de diez (10) días hábiles, bajo apercibimiento de resolverse con la documentación obrante en autos.</w:t>
      </w:r>
    </w:p>
    <w:p w:rsidR="00242252" w:rsidRPr="00AA20E7" w:rsidRDefault="00242252" w:rsidP="00AA20E7">
      <w:pPr>
        <w:pStyle w:val="Prrafodelista"/>
        <w:jc w:val="both"/>
        <w:rPr>
          <w:rFonts w:ascii="Tahoma" w:hAnsi="Tahoma" w:cs="Tahoma"/>
          <w:sz w:val="20"/>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Mediante escrito de fecha 3 de febrero de 2011, el Postor presentó sus descargos en los siguientes términos:</w:t>
      </w:r>
    </w:p>
    <w:p w:rsidR="00242252" w:rsidRPr="00AA20E7" w:rsidRDefault="00242252" w:rsidP="00AA20E7">
      <w:pPr>
        <w:pStyle w:val="Prrafodelista"/>
        <w:jc w:val="both"/>
        <w:rPr>
          <w:rFonts w:ascii="Tahoma" w:hAnsi="Tahoma" w:cs="Tahoma"/>
          <w:sz w:val="20"/>
        </w:rPr>
      </w:pPr>
    </w:p>
    <w:p w:rsidR="00242252" w:rsidRPr="00AA20E7" w:rsidRDefault="00242252" w:rsidP="00AA20E7">
      <w:pPr>
        <w:pStyle w:val="Prrafodelista"/>
        <w:widowControl/>
        <w:numPr>
          <w:ilvl w:val="0"/>
          <w:numId w:val="9"/>
        </w:numPr>
        <w:suppressAutoHyphens w:val="0"/>
        <w:ind w:left="1418" w:hanging="284"/>
        <w:jc w:val="both"/>
        <w:rPr>
          <w:rFonts w:ascii="Tahoma" w:hAnsi="Tahoma" w:cs="Tahoma"/>
          <w:sz w:val="20"/>
        </w:rPr>
      </w:pPr>
      <w:r w:rsidRPr="00AA20E7">
        <w:rPr>
          <w:rFonts w:ascii="Tahoma" w:hAnsi="Tahoma" w:cs="Tahoma"/>
          <w:sz w:val="20"/>
        </w:rPr>
        <w:t>De manera previa a participar en el proceso de selección  se realizó las coordinaciones con la INGRAM MICRO, distribuidor mayorista autorizado de la empresa MOTOROLA, a fin que se abastezcan 6t43 lectoras (kit lectora, cable usb y base). Para esto se obtuvo carta del fabricante comprometiéndose a abastecer a través de su distribuidor mayorista de los bienes requeridos.</w:t>
      </w:r>
    </w:p>
    <w:p w:rsidR="00242252" w:rsidRPr="00AA20E7" w:rsidRDefault="00242252" w:rsidP="00AA20E7">
      <w:pPr>
        <w:pStyle w:val="Prrafodelista"/>
        <w:ind w:left="1418"/>
        <w:jc w:val="both"/>
        <w:rPr>
          <w:rFonts w:ascii="Tahoma" w:hAnsi="Tahoma" w:cs="Tahoma"/>
          <w:sz w:val="20"/>
        </w:rPr>
      </w:pPr>
    </w:p>
    <w:p w:rsidR="00242252" w:rsidRPr="00AA20E7" w:rsidRDefault="00242252" w:rsidP="00AA20E7">
      <w:pPr>
        <w:pStyle w:val="Prrafodelista"/>
        <w:widowControl/>
        <w:numPr>
          <w:ilvl w:val="0"/>
          <w:numId w:val="9"/>
        </w:numPr>
        <w:suppressAutoHyphens w:val="0"/>
        <w:ind w:left="1418" w:hanging="284"/>
        <w:jc w:val="both"/>
        <w:rPr>
          <w:rFonts w:ascii="Tahoma" w:hAnsi="Tahoma" w:cs="Tahoma"/>
          <w:sz w:val="20"/>
        </w:rPr>
      </w:pPr>
      <w:r w:rsidRPr="00AA20E7">
        <w:rPr>
          <w:rFonts w:ascii="Tahoma" w:hAnsi="Tahoma" w:cs="Tahoma"/>
          <w:sz w:val="20"/>
        </w:rPr>
        <w:t>Dicho compromiso se sustenta con la Carta del fabricante de fecha 02 de setiembre de 2009 dirigida a RENIEC, suscrita por el Gerente Canal de Dsitribuidor de Territorio andino Enterprise Mobilty Solutions Motorola del Perú S.A., Carlos Villa, donde certificó que el Postor forma parte del programa de canales  de Motorola, y por ende está autorizado a comercializar los equipos de scanner modelo LS4208SWZU0100SR.</w:t>
      </w:r>
    </w:p>
    <w:p w:rsidR="00242252" w:rsidRPr="00AA20E7" w:rsidRDefault="00242252" w:rsidP="00AA20E7">
      <w:pPr>
        <w:pStyle w:val="Prrafodelista"/>
        <w:jc w:val="both"/>
        <w:rPr>
          <w:rFonts w:ascii="Tahoma" w:hAnsi="Tahoma" w:cs="Tahoma"/>
          <w:sz w:val="20"/>
        </w:rPr>
      </w:pPr>
    </w:p>
    <w:p w:rsidR="00242252" w:rsidRPr="00AA20E7" w:rsidRDefault="00242252" w:rsidP="00AA20E7">
      <w:pPr>
        <w:pStyle w:val="Prrafodelista"/>
        <w:widowControl/>
        <w:numPr>
          <w:ilvl w:val="0"/>
          <w:numId w:val="9"/>
        </w:numPr>
        <w:suppressAutoHyphens w:val="0"/>
        <w:ind w:left="1418" w:hanging="284"/>
        <w:jc w:val="both"/>
        <w:rPr>
          <w:rFonts w:ascii="Tahoma" w:hAnsi="Tahoma" w:cs="Tahoma"/>
          <w:sz w:val="20"/>
        </w:rPr>
      </w:pPr>
      <w:r w:rsidRPr="00AA20E7">
        <w:rPr>
          <w:rFonts w:ascii="Tahoma" w:hAnsi="Tahoma" w:cs="Tahoma"/>
          <w:sz w:val="20"/>
        </w:rPr>
        <w:t xml:space="preserve">Al comunicarse con el distribuidor mayorista MOTORLA INGRAM – MICRO, esta empresa indicó al Postor que la empresa MOTOROLA no atenderá el requerimiento. </w:t>
      </w:r>
    </w:p>
    <w:p w:rsidR="00242252" w:rsidRPr="00AA20E7" w:rsidRDefault="00242252" w:rsidP="00AA20E7">
      <w:pPr>
        <w:pStyle w:val="Prrafodelista"/>
        <w:jc w:val="both"/>
        <w:rPr>
          <w:rFonts w:ascii="Tahoma" w:hAnsi="Tahoma" w:cs="Tahoma"/>
          <w:sz w:val="20"/>
        </w:rPr>
      </w:pPr>
    </w:p>
    <w:p w:rsidR="00242252" w:rsidRPr="00AA20E7" w:rsidRDefault="00242252" w:rsidP="00AA20E7">
      <w:pPr>
        <w:pStyle w:val="Prrafodelista"/>
        <w:widowControl/>
        <w:numPr>
          <w:ilvl w:val="0"/>
          <w:numId w:val="9"/>
        </w:numPr>
        <w:suppressAutoHyphens w:val="0"/>
        <w:ind w:left="1418" w:hanging="284"/>
        <w:jc w:val="both"/>
        <w:rPr>
          <w:rFonts w:ascii="Tahoma" w:hAnsi="Tahoma" w:cs="Tahoma"/>
          <w:sz w:val="20"/>
        </w:rPr>
      </w:pPr>
      <w:r w:rsidRPr="00AA20E7">
        <w:rPr>
          <w:rFonts w:ascii="Tahoma" w:hAnsi="Tahoma" w:cs="Tahoma"/>
          <w:sz w:val="20"/>
        </w:rPr>
        <w:t>Al respecto, el sr Carlos villa informó con Carta EMS-167-10-RQ Bogota, que el modelo  LS4208SWZU0100SR correspondiente a un KIT de scanner Laser no es válido para Latinoamérica y que debía adquirirse por separado. Dicha comunicación se contradice con lo originariamente indicado por la empresa MOTOROLA con su carta de fecha 02 de setiembre de 2010.</w:t>
      </w:r>
    </w:p>
    <w:p w:rsidR="00242252" w:rsidRPr="00AA20E7" w:rsidRDefault="00242252" w:rsidP="00AA20E7">
      <w:pPr>
        <w:pStyle w:val="Prrafodelista"/>
        <w:jc w:val="both"/>
        <w:rPr>
          <w:rFonts w:ascii="Tahoma" w:hAnsi="Tahoma" w:cs="Tahoma"/>
          <w:sz w:val="20"/>
        </w:rPr>
      </w:pPr>
    </w:p>
    <w:p w:rsidR="00242252" w:rsidRPr="00AA20E7" w:rsidRDefault="00242252" w:rsidP="00AA20E7">
      <w:pPr>
        <w:pStyle w:val="Prrafodelista"/>
        <w:widowControl/>
        <w:numPr>
          <w:ilvl w:val="0"/>
          <w:numId w:val="9"/>
        </w:numPr>
        <w:suppressAutoHyphens w:val="0"/>
        <w:ind w:left="1418" w:hanging="284"/>
        <w:jc w:val="both"/>
        <w:rPr>
          <w:rFonts w:ascii="Tahoma" w:hAnsi="Tahoma" w:cs="Tahoma"/>
          <w:sz w:val="20"/>
        </w:rPr>
      </w:pPr>
      <w:r w:rsidRPr="00AA20E7">
        <w:rPr>
          <w:rFonts w:ascii="Tahoma" w:hAnsi="Tahoma" w:cs="Tahoma"/>
          <w:sz w:val="20"/>
        </w:rPr>
        <w:t>Debido a la poca seriedad por parte de los representantes de MOTOROLA  no se pudo suscribir el Contrato.</w:t>
      </w:r>
    </w:p>
    <w:p w:rsidR="00242252" w:rsidRPr="00AA20E7" w:rsidRDefault="00242252" w:rsidP="00AA20E7">
      <w:pPr>
        <w:pStyle w:val="Prrafodelista"/>
        <w:jc w:val="both"/>
        <w:rPr>
          <w:rFonts w:ascii="Tahoma" w:hAnsi="Tahoma" w:cs="Tahoma"/>
          <w:sz w:val="20"/>
        </w:rPr>
      </w:pPr>
    </w:p>
    <w:p w:rsid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Por decreto de fecha 07 de febrero de 2011, el Tribunal tuvo por apersonado al Contratista, por presentado sus descargos, por señalado su domicilio procesal, sito en: Av. Parinacochas Nº 1846, La Victoria. Asimismo, se remitió el expediente a la Primera Sala del Tribunal para que continúe con el procedimiento según su estado.</w:t>
      </w:r>
    </w:p>
    <w:p w:rsidR="00AA20E7" w:rsidRDefault="00AA20E7" w:rsidP="00AA20E7">
      <w:pPr>
        <w:spacing w:after="0" w:line="240" w:lineRule="auto"/>
        <w:ind w:left="540"/>
        <w:jc w:val="both"/>
        <w:rPr>
          <w:rFonts w:ascii="Tahoma" w:hAnsi="Tahoma" w:cs="Tahoma"/>
          <w:sz w:val="20"/>
          <w:szCs w:val="20"/>
        </w:rPr>
      </w:pPr>
    </w:p>
    <w:p w:rsid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El día 17 de mayo de 2011 se programó la diligencia de audiencia pública, sin embargo, esta no se llevó a cabo por inasistencia de las partes.</w:t>
      </w:r>
    </w:p>
    <w:p w:rsidR="00AA20E7" w:rsidRDefault="00AA20E7" w:rsidP="00AA20E7">
      <w:pPr>
        <w:pStyle w:val="Prrafodelista"/>
        <w:rPr>
          <w:rFonts w:ascii="Tahoma" w:hAnsi="Tahoma" w:cs="Tahoma"/>
          <w:sz w:val="20"/>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lastRenderedPageBreak/>
        <w:t>El 26 de mayo de 2011, el Postor solicitó la reprogramación de la diligencia de audiencia pública.</w:t>
      </w:r>
    </w:p>
    <w:p w:rsidR="00430289" w:rsidRDefault="00430289" w:rsidP="00430289">
      <w:pPr>
        <w:spacing w:after="0" w:line="240" w:lineRule="auto"/>
        <w:ind w:left="540"/>
        <w:jc w:val="both"/>
        <w:rPr>
          <w:rFonts w:ascii="Tahoma" w:hAnsi="Tahoma" w:cs="Tahoma"/>
          <w:sz w:val="20"/>
          <w:szCs w:val="20"/>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El 02 de junio de 2011 se llevó a cabo la diligencia de audiencia pública con la intervención de los representantes del Postor. A dicha diligencia no se apersonó el representante de la Entidad.</w:t>
      </w:r>
    </w:p>
    <w:p w:rsidR="00242252" w:rsidRPr="00AA20E7" w:rsidRDefault="00242252" w:rsidP="00AA20E7">
      <w:pPr>
        <w:pStyle w:val="Prrafodelista"/>
        <w:rPr>
          <w:rFonts w:ascii="Tahoma" w:hAnsi="Tahoma" w:cs="Tahoma"/>
          <w:sz w:val="20"/>
        </w:rPr>
      </w:pPr>
    </w:p>
    <w:p w:rsidR="00242252" w:rsidRPr="00AA20E7" w:rsidRDefault="00242252" w:rsidP="00AA20E7">
      <w:pPr>
        <w:numPr>
          <w:ilvl w:val="0"/>
          <w:numId w:val="8"/>
        </w:numPr>
        <w:tabs>
          <w:tab w:val="num" w:pos="540"/>
        </w:tabs>
        <w:spacing w:after="0" w:line="240" w:lineRule="auto"/>
        <w:ind w:left="540" w:hanging="540"/>
        <w:jc w:val="both"/>
        <w:rPr>
          <w:rFonts w:ascii="Tahoma" w:hAnsi="Tahoma" w:cs="Tahoma"/>
          <w:sz w:val="20"/>
          <w:szCs w:val="20"/>
        </w:rPr>
      </w:pPr>
      <w:r w:rsidRPr="00AA20E7">
        <w:rPr>
          <w:rFonts w:ascii="Tahoma" w:hAnsi="Tahoma" w:cs="Tahoma"/>
          <w:sz w:val="20"/>
          <w:szCs w:val="20"/>
        </w:rPr>
        <w:t>Con decreto de fecha 02 de junio de 2011, se programó una nueva audiencia pública para el  08 del mismo mes, sin embargo, esta no se llevó a cabo por inasistencia de las partes.</w:t>
      </w:r>
    </w:p>
    <w:p w:rsidR="00242252" w:rsidRPr="00AA20E7" w:rsidRDefault="00242252" w:rsidP="00AA20E7">
      <w:pPr>
        <w:tabs>
          <w:tab w:val="num" w:pos="9720"/>
        </w:tabs>
        <w:spacing w:after="0" w:line="240" w:lineRule="auto"/>
        <w:jc w:val="both"/>
        <w:rPr>
          <w:rFonts w:ascii="Tahoma" w:hAnsi="Tahoma" w:cs="Tahoma"/>
          <w:b/>
          <w:sz w:val="20"/>
          <w:szCs w:val="20"/>
        </w:rPr>
      </w:pPr>
    </w:p>
    <w:p w:rsidR="00242252" w:rsidRPr="00AA20E7" w:rsidRDefault="00242252" w:rsidP="00AA20E7">
      <w:pPr>
        <w:tabs>
          <w:tab w:val="num" w:pos="9720"/>
        </w:tabs>
        <w:spacing w:after="0" w:line="240" w:lineRule="auto"/>
        <w:jc w:val="both"/>
        <w:rPr>
          <w:rFonts w:ascii="Tahoma" w:hAnsi="Tahoma" w:cs="Tahoma"/>
          <w:b/>
          <w:sz w:val="20"/>
          <w:szCs w:val="20"/>
        </w:rPr>
      </w:pPr>
      <w:r w:rsidRPr="00AA20E7">
        <w:rPr>
          <w:rFonts w:ascii="Tahoma" w:hAnsi="Tahoma" w:cs="Tahoma"/>
          <w:b/>
          <w:sz w:val="20"/>
          <w:szCs w:val="20"/>
        </w:rPr>
        <w:t>FUNDAMENTACIÓN:</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 Es materia del presente procedimiento administrativo sancionador, la supuesta responsabilidad de la empresa BIENES Y MULTISERVICIOS INTEGRANTES S.A.C., </w:t>
      </w:r>
      <w:r w:rsidRPr="00AA20E7">
        <w:rPr>
          <w:rFonts w:ascii="Tahoma" w:hAnsi="Tahoma" w:cs="Tahoma"/>
          <w:sz w:val="20"/>
          <w:szCs w:val="20"/>
          <w:lang w:eastAsia="es-PE"/>
        </w:rPr>
        <w:t xml:space="preserve">consistente en </w:t>
      </w:r>
      <w:r w:rsidRPr="00AA20E7">
        <w:rPr>
          <w:rFonts w:ascii="Tahoma" w:hAnsi="Tahoma" w:cs="Tahoma"/>
          <w:sz w:val="20"/>
          <w:szCs w:val="20"/>
        </w:rPr>
        <w:t>no haber suscrito injustificadamente el contrato, a pesar de haber resultado ganador del otorgamiento de la buena pro de la Exoneración Nº 014-2010-RENIEC, efectuada para la adquisición de 643 lectoras de código de barra</w:t>
      </w:r>
      <w:r w:rsidRPr="00AA20E7">
        <w:rPr>
          <w:rFonts w:ascii="Tahoma" w:hAnsi="Tahoma" w:cs="Tahoma"/>
          <w:sz w:val="20"/>
          <w:szCs w:val="20"/>
          <w:lang w:eastAsia="es-PE"/>
        </w:rPr>
        <w:t>;</w:t>
      </w:r>
      <w:r w:rsidRPr="00AA20E7">
        <w:rPr>
          <w:rFonts w:ascii="Tahoma" w:hAnsi="Tahoma" w:cs="Tahoma"/>
          <w:sz w:val="20"/>
          <w:szCs w:val="20"/>
        </w:rPr>
        <w:t xml:space="preserve"> infracción tipificada en el literal a) del numeral 51.1) del artículo 51 de la Ley de Contrataciones del Estado, aprobado mediante Decreto Legislativo Nº 1017, en adelante la Ley; y en el literal a) del numeral 1 del artículo 237 del Reglamento de la Ley de Contrataciones del Estado, aprobada mediante Decreto Supremo Nº 184-2008-EF, en lo sucesivo el Reglamento, norma vigente al suscitarse los hechos. </w:t>
      </w:r>
    </w:p>
    <w:p w:rsidR="00AA20E7" w:rsidRDefault="00AA20E7" w:rsidP="00AA20E7">
      <w:pPr>
        <w:spacing w:line="240" w:lineRule="auto"/>
        <w:ind w:left="540"/>
        <w:jc w:val="both"/>
        <w:rPr>
          <w:rFonts w:ascii="Tahoma" w:hAnsi="Tahoma" w:cs="Tahoma"/>
          <w:b/>
          <w:bCs/>
          <w:sz w:val="20"/>
          <w:szCs w:val="20"/>
          <w:lang w:val="es-ES_tradnl"/>
        </w:rPr>
      </w:pPr>
    </w:p>
    <w:p w:rsidR="00242252" w:rsidRPr="00AA20E7" w:rsidRDefault="00242252" w:rsidP="00AA20E7">
      <w:pPr>
        <w:spacing w:line="240" w:lineRule="auto"/>
        <w:ind w:left="540"/>
        <w:jc w:val="both"/>
        <w:rPr>
          <w:rFonts w:ascii="Tahoma" w:hAnsi="Tahoma" w:cs="Tahoma"/>
          <w:b/>
          <w:bCs/>
          <w:sz w:val="20"/>
          <w:szCs w:val="20"/>
          <w:lang w:val="es-ES_tradnl"/>
        </w:rPr>
      </w:pPr>
      <w:r w:rsidRPr="00AA20E7">
        <w:rPr>
          <w:rFonts w:ascii="Tahoma" w:hAnsi="Tahoma" w:cs="Tahoma"/>
          <w:b/>
          <w:bCs/>
          <w:sz w:val="20"/>
          <w:szCs w:val="20"/>
          <w:lang w:val="es-ES_tradnl"/>
        </w:rPr>
        <w:t>Análisis Formal</w:t>
      </w: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Al respecto, dichos artículos establecen que los postores, participantes, proveedores y/o contratistas incurrirán en infracción susceptible de sanción cuando no mantengan su oferta hasta el consentimiento de la Buena Pro o, de resultar ganadores, hasta la suscripción del contrato, no suscriban injustificadamente el contrato, o no reciban injustificadamente la orden de compra o de servicio emitida a su favor.</w:t>
      </w:r>
    </w:p>
    <w:p w:rsid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lang w:val="es-ES_tradnl"/>
        </w:rPr>
        <w:t>De manera previa,</w:t>
      </w:r>
      <w:r w:rsidRPr="00AA20E7">
        <w:rPr>
          <w:rFonts w:ascii="Tahoma" w:hAnsi="Tahoma" w:cs="Tahoma"/>
          <w:sz w:val="20"/>
          <w:szCs w:val="20"/>
        </w:rPr>
        <w:t xml:space="preserve"> cabe resaltar que aún cuando la normativa de contratación pública dispensa a las Entidades de realizar un proceso de selección y las faculta para adquirir o contratar mediante acciones directas o </w:t>
      </w:r>
      <w:r w:rsidRPr="00AA20E7">
        <w:rPr>
          <w:rFonts w:ascii="Tahoma" w:hAnsi="Tahoma" w:cs="Tahoma"/>
          <w:sz w:val="20"/>
          <w:szCs w:val="20"/>
          <w:u w:val="single"/>
        </w:rPr>
        <w:t>exoneraciones</w:t>
      </w:r>
      <w:r w:rsidRPr="00AA20E7">
        <w:rPr>
          <w:rFonts w:ascii="Tahoma" w:hAnsi="Tahoma" w:cs="Tahoma"/>
          <w:sz w:val="20"/>
          <w:szCs w:val="20"/>
        </w:rPr>
        <w:t>, dicho permiso está referido sólo a la omisión de convocar los respectivos procesos de selección; en esa medida, bajo concepto alguno podrá interpretarse que la exoneración habilita a las Entidades a inaplicar totalmente las disposiciones en materia de contrataciones y adquisiciones del Estado.</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Respecto de dicho extremo, el segundo párrafo del artículo 135º del Reglamento es concluyente al determinar expresamente que la exoneración se circunscribe a la omisión del proceso de selección, por lo que los contratos que se celebren como consecuencia de aquélla deberán cumplir los respectivos requisitos, condiciones, formalidades, exigencias y garantías que se aplicarían de haberse llevado a cabo el proceso de selección correspondiente. </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En resumen, una vez que la Entidad elige al proveedor que cumple las características y condiciones establecidas en las Bases y le comunica su decisión de contratar con él, se ha </w:t>
      </w:r>
      <w:r w:rsidRPr="00AA20E7">
        <w:rPr>
          <w:rFonts w:ascii="Tahoma" w:hAnsi="Tahoma" w:cs="Tahoma"/>
          <w:sz w:val="20"/>
          <w:szCs w:val="20"/>
        </w:rPr>
        <w:lastRenderedPageBreak/>
        <w:t>configurado la oferta y la aceptación y, por ende, el consentimiento</w:t>
      </w:r>
      <w:r w:rsidRPr="00AA20E7">
        <w:rPr>
          <w:rStyle w:val="Refdenotaalpie"/>
          <w:rFonts w:ascii="Tahoma" w:hAnsi="Tahoma" w:cs="Tahoma"/>
          <w:sz w:val="20"/>
          <w:szCs w:val="20"/>
        </w:rPr>
        <w:footnoteReference w:id="2"/>
      </w:r>
      <w:r w:rsidRPr="00AA20E7">
        <w:rPr>
          <w:rFonts w:ascii="Tahoma" w:hAnsi="Tahoma" w:cs="Tahoma"/>
          <w:sz w:val="20"/>
          <w:szCs w:val="20"/>
        </w:rPr>
        <w:t>, por lo que corresponde que ambas partes se avoquen a suscribir el contrato respectivo dentro del plazo previsto por la Entidad.</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En este punto, cabe precisar que el presupuesto formal previo a la conformación de la voluntad contractual es el proceso de selección. Así, la formación y posterior manifestación de la voluntad contractual se produce al otorgar los sujetos contratantes su consentimiento a través del procedimiento legal y reglamentario correspondiente; es decir, la licitación pública, concurso público, adjudicación directa o de menor cuantía, según sea el caso</w:t>
      </w:r>
      <w:r w:rsidRPr="00AA20E7">
        <w:rPr>
          <w:rStyle w:val="Refdenotaalpie"/>
          <w:rFonts w:ascii="Tahoma" w:hAnsi="Tahoma" w:cs="Tahoma"/>
          <w:sz w:val="20"/>
          <w:szCs w:val="20"/>
        </w:rPr>
        <w:footnoteReference w:id="3"/>
      </w:r>
      <w:r w:rsidRPr="00AA20E7">
        <w:rPr>
          <w:rFonts w:ascii="Tahoma" w:hAnsi="Tahoma" w:cs="Tahoma"/>
          <w:sz w:val="20"/>
          <w:szCs w:val="20"/>
        </w:rPr>
        <w:t xml:space="preserve">. </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En los casos de contratación directa, no obstante no haberse desarrollado alguno de los procesos de selección regulados por la normativa en materia de contratación pública (Licitación Pública, Concurso Público, Adjudicación Directa o de Menor Cuantía), se ha verificado un procedimiento de elección </w:t>
      </w:r>
      <w:r w:rsidRPr="00AA20E7">
        <w:rPr>
          <w:rFonts w:ascii="Tahoma" w:hAnsi="Tahoma" w:cs="Tahoma"/>
          <w:i/>
          <w:iCs/>
          <w:sz w:val="20"/>
          <w:szCs w:val="20"/>
        </w:rPr>
        <w:t>-sin concurrencia, puja u oposición de oferentes-</w:t>
      </w:r>
      <w:r w:rsidRPr="00AA20E7">
        <w:rPr>
          <w:rFonts w:ascii="Tahoma" w:hAnsi="Tahoma" w:cs="Tahoma"/>
          <w:sz w:val="20"/>
          <w:szCs w:val="20"/>
        </w:rPr>
        <w:t xml:space="preserve"> que se ha evidenciado a través de las acciones ejecutadas por la Entidad a fin de obtener una propuesta que se ajuste a sus necesidades y cumpla las especificaciones fijadas y la  presentación de una oferta a través de cualquier medio, quedando, por ende, configurada la voluntad contractual a que se refiere el párrafo precedente.</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Por tanto, tal como ocurre durante el desarrollo de un proceso de selección nominado, en la contratación directa se advierte una comunicación recíproca entre los futuros contratantes, exteriorizadas por manifestaciones volitivas de las partes que anticipan un contrato por formalizar. En tal sentido, el hecho de responder a la invitación para intervenir en un procedimiento de contratación directa vincula al oferente con la Administración y lo supedita a la eventualidad de que la Entidad le comunique su decisión de contratar con él, lo que implica, en definitiva, la concreción del acuerdo de voluntades.</w:t>
      </w:r>
    </w:p>
    <w:p w:rsidR="00AA20E7" w:rsidRPr="00AA20E7" w:rsidRDefault="00AA20E7" w:rsidP="00AA20E7">
      <w:pPr>
        <w:spacing w:after="0" w:line="240" w:lineRule="auto"/>
        <w:ind w:left="540"/>
        <w:jc w:val="both"/>
        <w:rPr>
          <w:rFonts w:ascii="Tahoma" w:hAnsi="Tahoma" w:cs="Tahoma"/>
          <w:sz w:val="20"/>
          <w:szCs w:val="20"/>
          <w:lang w:val="es-ES_tradnl"/>
        </w:rPr>
      </w:pPr>
    </w:p>
    <w:p w:rsidR="00AA20E7" w:rsidRDefault="00AA20E7"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Pr>
          <w:rFonts w:ascii="Tahoma" w:hAnsi="Tahoma" w:cs="Tahoma"/>
          <w:sz w:val="20"/>
          <w:szCs w:val="20"/>
        </w:rPr>
        <w:t>E</w:t>
      </w:r>
      <w:r w:rsidR="00242252" w:rsidRPr="00AA20E7">
        <w:rPr>
          <w:rFonts w:ascii="Tahoma" w:hAnsi="Tahoma" w:cs="Tahoma"/>
          <w:sz w:val="20"/>
          <w:szCs w:val="20"/>
        </w:rPr>
        <w:t xml:space="preserve">n ese orden de ideas, una vez que consta de modo indubitable y por escrito el acuerdo de voluntades, es decir, la oferta y aceptación, ambas partes quedan constreñidas a suscribir el contrato respectivo, al amparo de la obligación dispuesta en el artículo 137 del Reglamento, que es el requisito que la normativa ha previsto para la formalización de la relación contractual. </w:t>
      </w:r>
    </w:p>
    <w:p w:rsidR="00AA20E7" w:rsidRDefault="00AA20E7" w:rsidP="00AA20E7">
      <w:pPr>
        <w:pStyle w:val="Prrafodelista"/>
        <w:rPr>
          <w:rFonts w:ascii="Tahoma" w:hAnsi="Tahoma" w:cs="Tahoma"/>
          <w:sz w:val="20"/>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En el supuesto que habiéndose verificado el consentimiento y la aceptación de las partes, y que no se haya registrado vicio alguno en el procedimiento, si el proveedor elegido no concurre al acto de suscripción de contrato en el plazo previsto por la Entidad, ésta no estará obligada a suscribir contrato alguno con aquél y quedará facultada a recurrir a otro proveedor a fin de satisfacer sus necesidades; y, en ese caso, el proveedor elegido que no suscribió el contrato, será pasible de sanción, salvo imposibilidad física o jurídica que no le sea atribuible</w:t>
      </w:r>
      <w:r w:rsidRPr="00AA20E7">
        <w:rPr>
          <w:rStyle w:val="Refdenotaalpie"/>
          <w:rFonts w:ascii="Tahoma" w:hAnsi="Tahoma" w:cs="Tahoma"/>
          <w:sz w:val="20"/>
          <w:szCs w:val="20"/>
        </w:rPr>
        <w:footnoteReference w:id="4"/>
      </w:r>
      <w:r w:rsidRPr="00AA20E7">
        <w:rPr>
          <w:rFonts w:ascii="Tahoma" w:hAnsi="Tahoma" w:cs="Tahoma"/>
          <w:sz w:val="20"/>
          <w:szCs w:val="20"/>
        </w:rPr>
        <w:t>.</w:t>
      </w:r>
    </w:p>
    <w:p w:rsidR="00242252" w:rsidRPr="00AA20E7" w:rsidRDefault="00242252" w:rsidP="00AA20E7">
      <w:pPr>
        <w:spacing w:line="240" w:lineRule="auto"/>
        <w:jc w:val="both"/>
        <w:rPr>
          <w:rFonts w:ascii="Tahoma" w:hAnsi="Tahoma" w:cs="Tahoma"/>
          <w:sz w:val="20"/>
          <w:szCs w:val="20"/>
          <w:lang w:val="es-ES_tradnl"/>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En el presente caso, se ha verificado de la información remitida por la Entidad y confirmada por el postor la invitación de la entidad y la presentación de la propuesta del postor, así como la aceptación de la Entidad respecto de la propuesta del postor y designación como su proveedor y “otorgamiento de la buena pro”. </w:t>
      </w:r>
    </w:p>
    <w:p w:rsidR="00AA20E7" w:rsidRDefault="00AA20E7" w:rsidP="00AA20E7">
      <w:pPr>
        <w:pStyle w:val="Prrafodelista"/>
        <w:rPr>
          <w:rFonts w:ascii="Tahoma" w:hAnsi="Tahoma" w:cs="Tahoma"/>
          <w:sz w:val="20"/>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En el caso que nos ocupa, la Entidad eligió a BIENES Y MULTISERVICIOS INTEGRANTES S.A.C., en adelante BIENES Y MULTISERVICIOS, para la adquisición de 643 lectoras de código de barra, requerido el 09 de septiembre de 2010.  Esta decisión fue publicada en el SEACE en la misma fecha y comunicada a la empresa - según lo informado por la Entidad - en la misma oportunidad. Adicionalmente, por Cartas N.º 251-2010/GAD/SGLG/RENIEC, notificada personalmente el 13 de septiembre de 2010, la Entidad le informó el “otorgamiento” y “consentimiento de la buena pro”, así como la citación para que a más tardar en el plazo máximo de cinco (05) días se apersone a fin de suscribir el respectivo contrato, acompañando la documentación pertinente.  No obstante, vencido el plazo otorgado, no se perfeccionó el vínculo contractual.</w:t>
      </w:r>
    </w:p>
    <w:p w:rsidR="00AA20E7" w:rsidRDefault="00AA20E7" w:rsidP="00AA20E7">
      <w:pPr>
        <w:pStyle w:val="Prrafodelista"/>
        <w:rPr>
          <w:rFonts w:ascii="Tahoma" w:hAnsi="Tahoma" w:cs="Tahoma"/>
          <w:sz w:val="20"/>
          <w:lang w:val="es-MX"/>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lang w:val="es-MX"/>
        </w:rPr>
        <w:t xml:space="preserve">Sobre el particular, a fin de determinar la responsabilidad del postor en la omisión de suscribir el contrato derivada de una exoneración, es preciso mencionar que incluso tratándose de una exoneración, las Entidades se encuentran obligadas, a incluir la contratación en el Plan Anual de Contrataciones, aprobar las Bases, </w:t>
      </w:r>
      <w:r w:rsidRPr="00AA20E7">
        <w:rPr>
          <w:rFonts w:ascii="Tahoma" w:hAnsi="Tahoma" w:cs="Tahoma"/>
          <w:sz w:val="20"/>
          <w:szCs w:val="20"/>
          <w:u w:val="single"/>
          <w:lang w:val="es-MX"/>
        </w:rPr>
        <w:t>requerir al contratista –de forma previa a la suscripción del contrato.</w:t>
      </w:r>
    </w:p>
    <w:p w:rsidR="00AA20E7" w:rsidRDefault="00AA20E7" w:rsidP="00AA20E7">
      <w:pPr>
        <w:pStyle w:val="Prrafodelista"/>
        <w:rPr>
          <w:rFonts w:ascii="Tahoma" w:hAnsi="Tahoma" w:cs="Tahoma"/>
          <w:sz w:val="20"/>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Asimismo, en atención a lo señalado en el artículo 135 del Reglamento, la exoneración sólo se circunscribe a la omisión del proceso de selección, por lo que la regla general aplicable es que a los contratos que vayan a celebrarse como consecuencia de una exoneración (por cualquier otra causal), </w:t>
      </w:r>
      <w:r w:rsidRPr="00AA20E7">
        <w:rPr>
          <w:rFonts w:ascii="Tahoma" w:hAnsi="Tahoma" w:cs="Tahoma"/>
          <w:sz w:val="20"/>
          <w:szCs w:val="20"/>
          <w:u w:val="single"/>
        </w:rPr>
        <w:t>le resultan aplicables los plazos y procedimientos previstos en el artículo 148 del Reglamento</w:t>
      </w:r>
      <w:r w:rsidRPr="00AA20E7">
        <w:rPr>
          <w:rFonts w:ascii="Tahoma" w:hAnsi="Tahoma" w:cs="Tahoma"/>
          <w:sz w:val="20"/>
          <w:szCs w:val="20"/>
        </w:rPr>
        <w:t>; salvo los contratos que deriven de la exoneración por situación de emergencia, que es la excepción a dicha regla conforme a lo dispuesto en el artículo 23</w:t>
      </w:r>
      <w:r w:rsidRPr="00AA20E7">
        <w:rPr>
          <w:rStyle w:val="Refdenotaalpie"/>
          <w:rFonts w:ascii="Tahoma" w:hAnsi="Tahoma" w:cs="Tahoma"/>
          <w:sz w:val="20"/>
          <w:szCs w:val="20"/>
        </w:rPr>
        <w:footnoteReference w:id="5"/>
      </w:r>
      <w:r w:rsidRPr="00AA20E7">
        <w:rPr>
          <w:rFonts w:ascii="Tahoma" w:hAnsi="Tahoma" w:cs="Tahoma"/>
          <w:sz w:val="20"/>
          <w:szCs w:val="20"/>
        </w:rPr>
        <w:t xml:space="preserve"> de la Ley que permite la regularización del trámite administrativo para satisfacer las necesidades de la Entidad.</w:t>
      </w:r>
    </w:p>
    <w:p w:rsidR="00AA20E7" w:rsidRDefault="00AA20E7" w:rsidP="00AA20E7">
      <w:pPr>
        <w:pStyle w:val="Prrafodelista"/>
        <w:rPr>
          <w:rFonts w:ascii="Tahoma" w:hAnsi="Tahoma" w:cs="Tahoma"/>
          <w:sz w:val="20"/>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En el marco de lo indicado, </w:t>
      </w:r>
      <w:r w:rsidRPr="00AA20E7">
        <w:rPr>
          <w:rFonts w:ascii="Tahoma" w:hAnsi="Tahoma" w:cs="Tahoma"/>
          <w:sz w:val="20"/>
          <w:szCs w:val="20"/>
          <w:lang w:val="es-MX"/>
        </w:rPr>
        <w:t>p</w:t>
      </w:r>
      <w:r w:rsidRPr="00AA20E7">
        <w:rPr>
          <w:rFonts w:ascii="Tahoma" w:hAnsi="Tahoma" w:cs="Tahoma"/>
          <w:sz w:val="20"/>
          <w:szCs w:val="20"/>
        </w:rPr>
        <w:t>ara la configuración del supuesto de hecho contenido en la norma acotada, se requiere previamente acreditar que la Entidad haya respetado el procedimiento de suscripción del contrato conforme a lo previsto en el numeral 1</w:t>
      </w:r>
      <w:r w:rsidRPr="00AA20E7">
        <w:rPr>
          <w:rFonts w:ascii="Tahoma" w:hAnsi="Tahoma" w:cs="Tahoma"/>
          <w:sz w:val="20"/>
          <w:szCs w:val="20"/>
          <w:lang w:eastAsia="es-PE"/>
        </w:rPr>
        <w:t>) del artículo 148 del Reglamento</w:t>
      </w:r>
      <w:r w:rsidRPr="00AA20E7">
        <w:rPr>
          <w:rFonts w:ascii="Tahoma" w:hAnsi="Tahoma" w:cs="Tahoma"/>
          <w:sz w:val="20"/>
          <w:szCs w:val="20"/>
        </w:rPr>
        <w:t>, que</w:t>
      </w:r>
      <w:r w:rsidRPr="00AA20E7">
        <w:rPr>
          <w:rFonts w:ascii="Tahoma" w:hAnsi="Tahoma" w:cs="Tahoma"/>
          <w:sz w:val="20"/>
          <w:szCs w:val="20"/>
          <w:lang w:eastAsia="es-PE"/>
        </w:rPr>
        <w:t xml:space="preserve"> establece que dentro de los dos (2) días hábiles siguientes al consentimiento de la buena pro, la Entidad deberá citar al postor ganador y otorgarle un plazo mínimo de cinco (5) días hábiles y máximo de diez (10) días hábiles, dentro del cual deberá presentarse a suscribir el contrato con toda la documentación requerida. Asimismo, el numeral 2) del referido artículo agrega que si el postor no se presentara dentro del plazo otorgado, perderá automáticamente la buena pro, sin perjuicio de la sanción administrativa aplicable. </w:t>
      </w:r>
    </w:p>
    <w:p w:rsidR="00AA20E7" w:rsidRDefault="00AA20E7" w:rsidP="00AA20E7">
      <w:pPr>
        <w:pStyle w:val="Prrafodelista"/>
        <w:rPr>
          <w:rFonts w:ascii="Tahoma" w:hAnsi="Tahoma" w:cs="Tahoma"/>
          <w:sz w:val="20"/>
        </w:rPr>
      </w:pPr>
    </w:p>
    <w:p w:rsidR="00242252" w:rsidRPr="00AA20E7" w:rsidRDefault="00242252" w:rsidP="00AA20E7">
      <w:pPr>
        <w:spacing w:after="0" w:line="240" w:lineRule="auto"/>
        <w:ind w:left="540"/>
        <w:jc w:val="both"/>
        <w:rPr>
          <w:rFonts w:ascii="Tahoma" w:hAnsi="Tahoma" w:cs="Tahoma"/>
          <w:sz w:val="20"/>
          <w:szCs w:val="20"/>
          <w:lang w:val="es-ES_tradnl"/>
        </w:rPr>
      </w:pPr>
      <w:r w:rsidRPr="00AA20E7">
        <w:rPr>
          <w:rFonts w:ascii="Tahoma" w:hAnsi="Tahoma" w:cs="Tahoma"/>
          <w:sz w:val="20"/>
          <w:szCs w:val="20"/>
          <w:lang w:val="es-ES_tradnl"/>
        </w:rPr>
        <w:t xml:space="preserve">El cumplimiento de este procedimiento es </w:t>
      </w:r>
      <w:r w:rsidRPr="00AA20E7">
        <w:rPr>
          <w:rFonts w:ascii="Tahoma" w:hAnsi="Tahoma" w:cs="Tahoma"/>
          <w:b/>
          <w:bCs/>
          <w:i/>
          <w:iCs/>
          <w:sz w:val="20"/>
          <w:szCs w:val="20"/>
          <w:lang w:val="es-ES_tradnl"/>
        </w:rPr>
        <w:t>condición necesaria</w:t>
      </w:r>
      <w:r w:rsidRPr="00AA20E7">
        <w:rPr>
          <w:rFonts w:ascii="Tahoma" w:hAnsi="Tahoma" w:cs="Tahoma"/>
          <w:sz w:val="20"/>
          <w:szCs w:val="20"/>
          <w:lang w:val="es-ES_tradnl"/>
        </w:rPr>
        <w:t xml:space="preserve"> para evaluar la existencia de eventuales responsabilidades por la comisión de la infracción tipificada en el literal a) del artículo 51.1 y 237º de la Ley y el Reglamento.</w:t>
      </w:r>
    </w:p>
    <w:p w:rsidR="00242252" w:rsidRPr="00AA20E7" w:rsidRDefault="00242252" w:rsidP="00AA20E7">
      <w:pPr>
        <w:spacing w:line="240" w:lineRule="auto"/>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lang w:val="es-ES_tradnl"/>
        </w:rPr>
        <w:t>En ese sentido, corresponde determinar de manera previa, si la Entidad ha seguido el debido procedimiento para suscribir el contrato. En tal sentido, cabe señalar que el plazo  para que el Postor Adjudicatario se apersone a suscribir el contrato a la Entidad, se computa a partir del día siguiente que toma conocimiento del documento que contiene la citación para que se apersone a suscribir el mismo. El artículo 148º del Reglamento es imperativo al considerar dicho plazo, el cual deber ser respetado por las Entidades, más aún, tratándose de un plazo que ha sido otorgado en beneficio de los administrados.</w:t>
      </w:r>
    </w:p>
    <w:p w:rsidR="00AA20E7" w:rsidRPr="00AA20E7" w:rsidRDefault="00AA20E7" w:rsidP="00AA20E7">
      <w:pPr>
        <w:spacing w:after="0" w:line="240" w:lineRule="auto"/>
        <w:ind w:left="540"/>
        <w:jc w:val="both"/>
        <w:rPr>
          <w:rFonts w:ascii="Tahoma" w:hAnsi="Tahoma" w:cs="Tahoma"/>
          <w:sz w:val="20"/>
          <w:szCs w:val="20"/>
          <w:lang w:val="es-ES_tradnl"/>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Llegados a este punto, fluye de los antecedentes reseñados que, el otorgamiento de la buena pro se realizó el 09 de septiembre de 2010, entendiéndose que éste quedo consentido el mismo día de la notificación de su otorgamiento al Postor, acto a través del cual se configura la oferta y el consentimiento. Por tanto, la Entidad debió citar al Postor dentro de los dos días hábiles siguientes, esto es, </w:t>
      </w:r>
      <w:r w:rsidRPr="00AA20E7">
        <w:rPr>
          <w:rFonts w:ascii="Tahoma" w:hAnsi="Tahoma" w:cs="Tahoma"/>
          <w:sz w:val="20"/>
          <w:szCs w:val="20"/>
          <w:u w:val="single"/>
        </w:rPr>
        <w:t>hasta el 13 de septiembre de 2010.</w:t>
      </w:r>
    </w:p>
    <w:p w:rsidR="00AA20E7" w:rsidRDefault="00AA20E7" w:rsidP="00AA20E7">
      <w:pPr>
        <w:pStyle w:val="Prrafodelista"/>
        <w:rPr>
          <w:rFonts w:ascii="Tahoma" w:hAnsi="Tahoma" w:cs="Tahoma"/>
          <w:sz w:val="20"/>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De la revisión de los documentos que obran en autos, se advierte que, mediante Carta Nº 251-2010-GAD/SGSG/RENIEC, notificada el 13 de septiembre de 2010, la Entidad citó a la empresa Bienes y Multiservicios Integrantes S.A.C. para el acto de suscripción de contrato, indicándole que deberá presentarse a suscribir el contrato con toda la documentación requerida dentro del plazo máximo de cinco (5) días hábiles.</w:t>
      </w:r>
    </w:p>
    <w:p w:rsidR="00AA20E7" w:rsidRDefault="00AA20E7" w:rsidP="00AA20E7">
      <w:pPr>
        <w:pStyle w:val="Prrafodelista"/>
        <w:rPr>
          <w:rFonts w:ascii="Tahoma" w:hAnsi="Tahoma" w:cs="Tahoma"/>
          <w:sz w:val="20"/>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Por lo tanto, al haberse constatado que la Entidad ha observado el procedimiento establecido para la suscripción del contrato, cuyo cumplimiento </w:t>
      </w:r>
      <w:r w:rsidRPr="00AA20E7">
        <w:rPr>
          <w:rFonts w:ascii="Tahoma" w:hAnsi="Tahoma" w:cs="Tahoma"/>
          <w:sz w:val="20"/>
          <w:szCs w:val="20"/>
          <w:lang w:val="es-ES_tradnl"/>
        </w:rPr>
        <w:t xml:space="preserve">supone una condición necesaria para evaluar la existencia de eventuales responsabilidades de carácter administrativo por la comisión de la infracción que nos ocupa, </w:t>
      </w:r>
      <w:r w:rsidRPr="00AA20E7">
        <w:rPr>
          <w:rFonts w:ascii="Tahoma" w:hAnsi="Tahoma" w:cs="Tahoma"/>
          <w:sz w:val="20"/>
          <w:szCs w:val="20"/>
        </w:rPr>
        <w:t>corresponde determinar si la omisión de suscribir el contrato fue injustificada.</w:t>
      </w:r>
    </w:p>
    <w:p w:rsidR="00AA20E7" w:rsidRPr="00AA20E7" w:rsidRDefault="00AA20E7" w:rsidP="00AA20E7">
      <w:pPr>
        <w:spacing w:after="0" w:line="240" w:lineRule="auto"/>
        <w:ind w:left="540"/>
        <w:jc w:val="both"/>
        <w:rPr>
          <w:rFonts w:ascii="Tahoma" w:hAnsi="Tahoma" w:cs="Tahoma"/>
          <w:sz w:val="20"/>
          <w:szCs w:val="20"/>
          <w:lang w:val="es-ES_tradnl"/>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Al respecto, en su denuncia la Entidad ha señalado que citó al Postor el </w:t>
      </w:r>
      <w:r w:rsidRPr="00AA20E7">
        <w:rPr>
          <w:rFonts w:ascii="Tahoma" w:hAnsi="Tahoma" w:cs="Tahoma"/>
          <w:sz w:val="20"/>
          <w:szCs w:val="20"/>
          <w:lang w:val="es-ES_tradnl"/>
        </w:rPr>
        <w:t>13 de septiembre de 2010</w:t>
      </w:r>
      <w:r w:rsidRPr="00AA20E7">
        <w:rPr>
          <w:rFonts w:ascii="Tahoma" w:hAnsi="Tahoma" w:cs="Tahoma"/>
          <w:sz w:val="20"/>
          <w:szCs w:val="20"/>
        </w:rPr>
        <w:t xml:space="preserve"> y, le indicó que  el plazo para la suscripción del contrato era de 05 días hábiles, es decir, el último día para dicho acto fue el 20 de septiembre de 2010. </w:t>
      </w:r>
    </w:p>
    <w:p w:rsidR="00AA20E7" w:rsidRDefault="00AA20E7" w:rsidP="00AA20E7">
      <w:pPr>
        <w:pStyle w:val="Prrafodelista"/>
        <w:rPr>
          <w:rFonts w:ascii="Tahoma" w:hAnsi="Tahoma" w:cs="Tahoma"/>
          <w:sz w:val="20"/>
        </w:rPr>
      </w:pPr>
    </w:p>
    <w:p w:rsidR="00AA20E7" w:rsidRDefault="00242252" w:rsidP="00AA20E7">
      <w:pPr>
        <w:spacing w:after="0" w:line="240" w:lineRule="auto"/>
        <w:ind w:left="540"/>
        <w:jc w:val="both"/>
        <w:rPr>
          <w:rFonts w:ascii="Tahoma" w:hAnsi="Tahoma" w:cs="Tahoma"/>
          <w:sz w:val="20"/>
          <w:szCs w:val="20"/>
          <w:lang w:val="es-ES_tradnl"/>
        </w:rPr>
      </w:pPr>
      <w:r w:rsidRPr="00AA20E7">
        <w:rPr>
          <w:rFonts w:ascii="Tahoma" w:hAnsi="Tahoma" w:cs="Tahoma"/>
          <w:sz w:val="20"/>
          <w:szCs w:val="20"/>
        </w:rPr>
        <w:t>En la referida fecha el postor no se apersonó a la Entidad con la documentación requerida, sino que, contrario a ello, el 22 de septiembre el Postor adjudicatario renunció a la buena pro obtenida, alegando que la empresa MOTOROLA, fabricante del producto ofertado, no cumplió con su compromiso de suministrar el producto LS4208-SWZU0100SR, que según lo indicado por el Postor, incluía Kit lectora, cable usb y base.</w:t>
      </w:r>
    </w:p>
    <w:p w:rsid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spacing w:after="0" w:line="240" w:lineRule="auto"/>
        <w:ind w:left="540"/>
        <w:jc w:val="both"/>
        <w:rPr>
          <w:rFonts w:ascii="Tahoma" w:hAnsi="Tahoma" w:cs="Tahoma"/>
          <w:sz w:val="20"/>
          <w:szCs w:val="20"/>
          <w:lang w:val="es-ES_tradnl"/>
        </w:rPr>
      </w:pPr>
      <w:r w:rsidRPr="00AA20E7">
        <w:rPr>
          <w:rFonts w:ascii="Tahoma" w:hAnsi="Tahoma" w:cs="Tahoma"/>
          <w:sz w:val="20"/>
          <w:szCs w:val="20"/>
        </w:rPr>
        <w:t>Asimismo, agregó que el Representante de MOTOROLA señaló que el modelo  LS4208SWZU0100SR, correspondiente a un KIT de scanner Laser no es válido para Latinoamérica y que debía adquirirse por separado. Dicha comunicación se contradice con lo originariamente indicado por la empresa MOTOROLA con su carta de fecha 02 de septiembre de 2010.</w:t>
      </w:r>
    </w:p>
    <w:p w:rsid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lang w:val="es-ES_tradnl"/>
        </w:rPr>
        <w:t>En ejercicio de su derecho de defensa</w:t>
      </w:r>
      <w:r w:rsidRPr="00AA20E7">
        <w:rPr>
          <w:rFonts w:ascii="Tahoma" w:hAnsi="Tahoma" w:cs="Tahoma"/>
          <w:sz w:val="20"/>
          <w:szCs w:val="20"/>
        </w:rPr>
        <w:t xml:space="preserve">, el Postor ha manifestado que de manera previa a participar en el proceso de selección  se realizó las coordinaciones con la INGRAM MICRO, </w:t>
      </w:r>
      <w:r w:rsidRPr="00AA20E7">
        <w:rPr>
          <w:rFonts w:ascii="Tahoma" w:hAnsi="Tahoma" w:cs="Tahoma"/>
          <w:sz w:val="20"/>
          <w:szCs w:val="20"/>
        </w:rPr>
        <w:lastRenderedPageBreak/>
        <w:t>distribuidor mayorista autorizado de la empresa MOTOROLA, a fin que se abastezcan las 643 lectoras (kit lectora, cable usb y base). Para esto se obtuvo carta del fabricante comprometiéndose a abastecer a través de su distribuidor mayorista los bienes requeridos.</w:t>
      </w:r>
    </w:p>
    <w:p w:rsidR="00242252" w:rsidRPr="00AA20E7" w:rsidRDefault="00242252" w:rsidP="00AA20E7">
      <w:pPr>
        <w:spacing w:line="240" w:lineRule="auto"/>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Dicho compromiso encuentra sustento en la Carta del fabricante de fecha 02 de septiembre de 2009 dirigida a RENIEC, suscrita por el Gerente Canal de Distribuidor de Territorio Andino Enterprise Mobilty Solutions Motorola del Perú S.A., Señor Carlos Villa, donde certificó que el Postor forma parte del programa de canales  de Motorola, y por ende está autorizado a comercializar los equipos de scanner modelo LS4208SWZU0100SR.</w:t>
      </w:r>
    </w:p>
    <w:p w:rsidR="00AA20E7" w:rsidRDefault="00AA20E7" w:rsidP="00AA20E7">
      <w:pPr>
        <w:spacing w:line="240" w:lineRule="auto"/>
        <w:ind w:left="540"/>
        <w:jc w:val="both"/>
        <w:rPr>
          <w:rFonts w:ascii="Tahoma" w:hAnsi="Tahoma" w:cs="Tahoma"/>
          <w:b/>
          <w:bCs/>
          <w:sz w:val="20"/>
          <w:szCs w:val="20"/>
        </w:rPr>
      </w:pPr>
    </w:p>
    <w:p w:rsidR="00242252" w:rsidRPr="00AA20E7" w:rsidRDefault="00242252" w:rsidP="00AA20E7">
      <w:pPr>
        <w:spacing w:line="240" w:lineRule="auto"/>
        <w:ind w:left="540"/>
        <w:jc w:val="both"/>
        <w:rPr>
          <w:rFonts w:ascii="Tahoma" w:hAnsi="Tahoma" w:cs="Tahoma"/>
          <w:b/>
          <w:bCs/>
          <w:sz w:val="20"/>
          <w:szCs w:val="20"/>
          <w:lang w:val="es-ES_tradnl"/>
        </w:rPr>
      </w:pPr>
      <w:r w:rsidRPr="00AA20E7">
        <w:rPr>
          <w:rFonts w:ascii="Tahoma" w:hAnsi="Tahoma" w:cs="Tahoma"/>
          <w:b/>
          <w:bCs/>
          <w:sz w:val="20"/>
          <w:szCs w:val="20"/>
        </w:rPr>
        <w:t>Análisis del Tribunal</w:t>
      </w:r>
    </w:p>
    <w:p w:rsidR="00AA20E7"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Al respecto, debe señalarse que en la carta del 02 de septiembre de 2009</w:t>
      </w:r>
      <w:r w:rsidRPr="00AA20E7">
        <w:rPr>
          <w:rStyle w:val="Refdenotaalpie"/>
          <w:rFonts w:ascii="Tahoma" w:hAnsi="Tahoma" w:cs="Tahoma"/>
          <w:sz w:val="20"/>
          <w:szCs w:val="20"/>
        </w:rPr>
        <w:footnoteReference w:id="6"/>
      </w:r>
      <w:r w:rsidRPr="00AA20E7">
        <w:rPr>
          <w:rFonts w:ascii="Tahoma" w:hAnsi="Tahoma" w:cs="Tahoma"/>
          <w:sz w:val="20"/>
          <w:szCs w:val="20"/>
        </w:rPr>
        <w:t xml:space="preserve">, dirigida a la Entidad por la empresa MOTOROLA DEL PERU S.A. se señaló lo siguiente: </w:t>
      </w:r>
      <w:r w:rsidRPr="00AA20E7">
        <w:rPr>
          <w:rFonts w:ascii="Tahoma" w:hAnsi="Tahoma" w:cs="Tahoma"/>
          <w:i/>
          <w:iCs/>
          <w:sz w:val="20"/>
          <w:szCs w:val="20"/>
        </w:rPr>
        <w:t>“Motorola certifica que la compañía BIENES Y MULTISERVCIOS INTEGRANTES S.A.C., forma parte del programa de canales “Partner select” de MOTORLA y como tal comercializa en el Perú, el portafolio de movilidad de MOTOROLA, el que incluye entre otros equipos “scanner” para captura de datos modelo LS4208-SWZU0100SR. Considerando que la empresa en mención forma parte de nuestra red en Perú de ARS por la sigla en Inglés Authorized Reseller, quien a través de distribuidores mayoristas, pondrá a su disposición el soporte técnico y el servicio MOTOROLA.”</w:t>
      </w:r>
    </w:p>
    <w:p w:rsidR="00AA20E7" w:rsidRDefault="00AA20E7" w:rsidP="00AA20E7">
      <w:pPr>
        <w:spacing w:after="0" w:line="240" w:lineRule="auto"/>
        <w:ind w:left="540"/>
        <w:jc w:val="both"/>
        <w:rPr>
          <w:rFonts w:ascii="Tahoma" w:hAnsi="Tahoma" w:cs="Tahoma"/>
          <w:sz w:val="20"/>
          <w:szCs w:val="20"/>
          <w:lang w:val="es-ES_tradnl"/>
        </w:rPr>
      </w:pPr>
    </w:p>
    <w:p w:rsid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Ahora bien, de la revisión del tenor de la comunicación antes descrita, se advierte que la empresa MOTOROLA DEL PERU S.A. a través de su Gerente Canal de Distribución del Territorio Andino, Sr. Carlos A. Villa, le indicó a la Entidad que el Postor comercializaba sus bienes en el Perú, y que formaba parte de su red de empresas distribuidoras ( partner) y que no sólo distribuían sus bienes,  sino que también a través de su Distribuidor Mayorista pondrá a su disposición el soporte técnico y el servicio Motorola.</w:t>
      </w:r>
      <w:r w:rsidRPr="00AA20E7">
        <w:rPr>
          <w:rFonts w:ascii="Tahoma" w:hAnsi="Tahoma" w:cs="Tahoma"/>
          <w:sz w:val="20"/>
          <w:szCs w:val="20"/>
          <w:lang w:val="es-ES_tradnl"/>
        </w:rPr>
        <w:t xml:space="preserve"> </w:t>
      </w:r>
    </w:p>
    <w:p w:rsidR="00AA20E7" w:rsidRDefault="00AA20E7" w:rsidP="00AA20E7">
      <w:pPr>
        <w:pStyle w:val="Prrafodelista"/>
        <w:rPr>
          <w:rFonts w:ascii="Tahoma" w:hAnsi="Tahoma" w:cs="Tahoma"/>
          <w:sz w:val="20"/>
        </w:rPr>
      </w:pPr>
    </w:p>
    <w:p w:rsidR="00242252" w:rsidRPr="00AA20E7" w:rsidRDefault="00242252" w:rsidP="00AA20E7">
      <w:pPr>
        <w:spacing w:after="0" w:line="240" w:lineRule="auto"/>
        <w:ind w:left="540"/>
        <w:jc w:val="both"/>
        <w:rPr>
          <w:rFonts w:ascii="Tahoma" w:hAnsi="Tahoma" w:cs="Tahoma"/>
          <w:sz w:val="20"/>
          <w:szCs w:val="20"/>
          <w:lang w:val="es-ES_tradnl"/>
        </w:rPr>
      </w:pPr>
      <w:r w:rsidRPr="00AA20E7">
        <w:rPr>
          <w:rFonts w:ascii="Tahoma" w:hAnsi="Tahoma" w:cs="Tahoma"/>
          <w:sz w:val="20"/>
          <w:szCs w:val="20"/>
        </w:rPr>
        <w:t xml:space="preserve">Igualmente, de la integridad de dicha comunicación, no se evidencia que la empresa fabricante se haya comprometido a suministrar al Postor el bien objeto de la convocatoria incluyendo entre sus componentes el </w:t>
      </w:r>
      <w:r w:rsidRPr="00AA20E7">
        <w:rPr>
          <w:rFonts w:ascii="Tahoma" w:hAnsi="Tahoma" w:cs="Tahoma"/>
          <w:sz w:val="20"/>
          <w:szCs w:val="20"/>
          <w:u w:val="single"/>
        </w:rPr>
        <w:t>kit lectora, cable de conexión usb y soporte pedestal base.</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Esta opinión se encuentra sustentada y ratificada  en la Carta de fecha 03 de septiembre de 2010</w:t>
      </w:r>
      <w:r w:rsidRPr="00AA20E7">
        <w:rPr>
          <w:rStyle w:val="Refdenotaalpie"/>
          <w:rFonts w:ascii="Tahoma" w:hAnsi="Tahoma" w:cs="Tahoma"/>
          <w:sz w:val="20"/>
          <w:szCs w:val="20"/>
        </w:rPr>
        <w:footnoteReference w:id="7"/>
      </w:r>
      <w:r w:rsidRPr="00AA20E7">
        <w:rPr>
          <w:rFonts w:ascii="Tahoma" w:hAnsi="Tahoma" w:cs="Tahoma"/>
          <w:sz w:val="20"/>
          <w:szCs w:val="20"/>
        </w:rPr>
        <w:t>, remitida por la empresa MOTOROLA al Postor, en la cual le indicó que las unidades del modelo LS4208-SWZU0100SR se encuentran activas y no hay planes de descontinuarlos, sin indicarse que dichos productos serían suministrados como un paquete que incluía kit lectora, cable usb y base.</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Nótese, además, que a través de la Carta de fecha 17 de septiembre de 2010 dirigida al Postor, Motorola informa que “(…) el modelo LS4208-SWZU0100SR corresponde a un Kit de Scanner Láser, que no es válido para Latinoamérica</w:t>
      </w:r>
      <w:r w:rsidRPr="00AA20E7">
        <w:rPr>
          <w:rFonts w:ascii="Tahoma" w:hAnsi="Tahoma" w:cs="Tahoma"/>
          <w:b/>
          <w:bCs/>
          <w:sz w:val="20"/>
          <w:szCs w:val="20"/>
        </w:rPr>
        <w:t xml:space="preserve">. Podrá adquirir modelo equivalente a través de los Distribuidores Mayorista Autorizados para el Perú, </w:t>
      </w:r>
      <w:r w:rsidRPr="00AA20E7">
        <w:rPr>
          <w:rFonts w:ascii="Tahoma" w:hAnsi="Tahoma" w:cs="Tahoma"/>
          <w:b/>
          <w:bCs/>
          <w:sz w:val="20"/>
          <w:szCs w:val="20"/>
        </w:rPr>
        <w:lastRenderedPageBreak/>
        <w:t>ordenando por separado</w:t>
      </w:r>
      <w:r w:rsidRPr="00AA20E7">
        <w:rPr>
          <w:rFonts w:ascii="Tahoma" w:hAnsi="Tahoma" w:cs="Tahoma"/>
          <w:sz w:val="20"/>
          <w:szCs w:val="20"/>
        </w:rPr>
        <w:t>, el stand y alguno de los Kit que incluye el Cable de 7 pies negro o blanco (…)”.(el resaltado es nuestro).</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Igualmente, esta opinión se ve ratificada a través del correo electrónico de fecha 16 de septiembre de 2010, a través del cual el sr. Carlos Villa, Gerente Canal de Distribución- Territorio Andino-Enterprise Mobility Solutions- Motorota de Colombia, le señala: “ (…) </w:t>
      </w:r>
      <w:r w:rsidRPr="00AA20E7">
        <w:rPr>
          <w:rFonts w:ascii="Tahoma" w:hAnsi="Tahoma" w:cs="Tahoma"/>
          <w:b/>
          <w:bCs/>
          <w:sz w:val="20"/>
          <w:szCs w:val="20"/>
        </w:rPr>
        <w:t xml:space="preserve">En conclusión entenderás que Motorola fue muy clara contigo directamente, </w:t>
      </w:r>
      <w:r w:rsidRPr="00AA20E7">
        <w:rPr>
          <w:rFonts w:ascii="Tahoma" w:hAnsi="Tahoma" w:cs="Tahoma"/>
          <w:b/>
          <w:bCs/>
          <w:sz w:val="20"/>
          <w:szCs w:val="20"/>
          <w:u w:val="single"/>
        </w:rPr>
        <w:t>en que tenías que cotizar los modelos de Latinoamérica, comprando por separado el stand y alguno de los Kits</w:t>
      </w:r>
      <w:r w:rsidRPr="00AA20E7">
        <w:rPr>
          <w:rFonts w:ascii="Tahoma" w:hAnsi="Tahoma" w:cs="Tahoma"/>
          <w:b/>
          <w:bCs/>
          <w:sz w:val="20"/>
          <w:szCs w:val="20"/>
        </w:rPr>
        <w:t xml:space="preserve"> que incluyen el cable de 7 pies LS4208-SBZU0100ZR (negro) o blanco.</w:t>
      </w:r>
      <w:r w:rsidRPr="00AA20E7">
        <w:rPr>
          <w:rFonts w:ascii="Tahoma" w:hAnsi="Tahoma" w:cs="Tahoma"/>
          <w:sz w:val="20"/>
          <w:szCs w:val="20"/>
          <w:lang w:val="es-ES_tradnl"/>
        </w:rPr>
        <w:t xml:space="preserve"> </w:t>
      </w:r>
      <w:r w:rsidRPr="00AA20E7">
        <w:rPr>
          <w:rFonts w:ascii="Tahoma" w:hAnsi="Tahoma" w:cs="Tahoma"/>
          <w:b/>
          <w:bCs/>
          <w:sz w:val="20"/>
          <w:szCs w:val="20"/>
          <w:u w:val="single"/>
        </w:rPr>
        <w:t>El proceso de verificación de modelos y precios es responsabilidad tuya con Partner y de tu Distribuidor Mayorista, proceso que sobra explicar, es la forma habitual de operar de Motorota con cualquier Partner en Latinoamérica</w:t>
      </w:r>
      <w:r w:rsidRPr="00AA20E7">
        <w:rPr>
          <w:rFonts w:ascii="Tahoma" w:hAnsi="Tahoma" w:cs="Tahoma"/>
          <w:sz w:val="20"/>
          <w:szCs w:val="20"/>
        </w:rPr>
        <w:t xml:space="preserve"> (…)”.(el subrayado es nuestro).</w:t>
      </w:r>
    </w:p>
    <w:p w:rsidR="00AA20E7" w:rsidRPr="00AA20E7" w:rsidRDefault="00AA20E7" w:rsidP="00AA20E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En tal sentido, atendiendo a las comunicaciones antes descritas, de los que se evidencia que el Fabricante sólo acreditó al Postor como sus distribuidor de la unidad de modelo LS4208-SWZU0100SR, sin que por éste hecho se obligue a suministrar el Kit completo, éste Colegiado concluye que el Postor es responsable por la no suscripción injustificada de contrato; Sin que quepa exonerar la responsabilidad del Postor en base a su creencia de la legalidad de la venta y la buena fe comercial por él ofertada, recordando al efecto que es el Postor el responsable  del contenido de los documentos presentados como parte de su propuesta, </w:t>
      </w:r>
      <w:r w:rsidRPr="00AA20E7">
        <w:rPr>
          <w:rFonts w:ascii="Tahoma" w:hAnsi="Tahoma" w:cs="Tahoma"/>
          <w:sz w:val="20"/>
          <w:szCs w:val="20"/>
          <w:u w:val="single"/>
        </w:rPr>
        <w:t>debiendo las mismas ser ofertas serias y que su falta de diligencia en la elaboración de las mismas es de exclusiva responsabilidad de éstos</w:t>
      </w:r>
      <w:r w:rsidRPr="00AA20E7">
        <w:rPr>
          <w:rFonts w:ascii="Tahoma" w:hAnsi="Tahoma" w:cs="Tahoma"/>
          <w:sz w:val="20"/>
          <w:szCs w:val="20"/>
        </w:rPr>
        <w:t xml:space="preserve"> ; máxime si a folios 30 del expediente administrativo suscribió la </w:t>
      </w:r>
      <w:r w:rsidRPr="00AA20E7">
        <w:rPr>
          <w:rFonts w:ascii="Tahoma" w:hAnsi="Tahoma" w:cs="Tahoma"/>
          <w:b/>
          <w:bCs/>
          <w:sz w:val="20"/>
          <w:szCs w:val="20"/>
        </w:rPr>
        <w:t>Declaración Jurada de Equipos Nuevos</w:t>
      </w:r>
      <w:r w:rsidRPr="00AA20E7">
        <w:rPr>
          <w:rFonts w:ascii="Tahoma" w:hAnsi="Tahoma" w:cs="Tahoma"/>
          <w:sz w:val="20"/>
          <w:szCs w:val="20"/>
        </w:rPr>
        <w:t xml:space="preserve">, en donde declaró que ofertada el equipo “ lectora de barras” Marca: SYMBOL MOTOROLA, MODELO: LS4208-SWZU0100SR </w:t>
      </w:r>
      <w:r w:rsidRPr="00AA20E7">
        <w:rPr>
          <w:rFonts w:ascii="Tahoma" w:hAnsi="Tahoma" w:cs="Tahoma"/>
          <w:b/>
          <w:bCs/>
          <w:sz w:val="20"/>
          <w:szCs w:val="20"/>
        </w:rPr>
        <w:t>(que incluye cable de conexión USB Y soporte pedestal).</w:t>
      </w:r>
    </w:p>
    <w:p w:rsidR="00E52A77" w:rsidRPr="00E52A77" w:rsidRDefault="00E52A77" w:rsidP="00E52A7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En ese orden de ideas, no resulta amparable el justificativo de incumplimiento alegado, pues no se trata de un hecho que haya sido imposible de ser previsto por el Postor, muy por el contrario, se ha acreditado objetivamente su falta de diligencia y su deber de cuidado, a quién se le obliga por la actividad que ejerce a adoptar precauciones especiales que requieren un especial cuidado en su ejercicio, en tal sentido, no cabe duda que quien asume de forma habitual de sus ocupaciones el comercio, ejerce una actividad que no solo requiere una pericia sino una prudencia especial que lo hace conocedor de los requisitos y obligaciones de toda índole inherente a la compra venta de bienes. </w:t>
      </w:r>
    </w:p>
    <w:p w:rsidR="00E52A77" w:rsidRDefault="00E52A77" w:rsidP="00E52A7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lang w:val="es-ES_tradnl"/>
        </w:rPr>
        <w:t>Por las consideraciones expuestas, y no habiendo acreditado el Postor ninguna causa justificante para la no suscripción del contrato, ni demostrado que los hechos hayan sido producto de un caso fortuito o fuerza mayor</w:t>
      </w:r>
      <w:r w:rsidRPr="00AA20E7">
        <w:rPr>
          <w:rFonts w:ascii="Tahoma" w:hAnsi="Tahoma" w:cs="Tahoma"/>
          <w:sz w:val="20"/>
          <w:szCs w:val="20"/>
        </w:rPr>
        <w:t>, esta Sala concluye que el  Postor incurrió en la infracción imputada prevista en el literal a) del artículo 51.1 y 237º de la Ley y del Reglamento, la cual establece una sanción administrativa de inhabilitación al infractor, en su derecho para participar en procesos de selección y contratar con el Estado, por un período no menor de uno (1) ni mayor a tres (3) años.</w:t>
      </w:r>
    </w:p>
    <w:p w:rsidR="00E52A77" w:rsidRPr="00E52A77" w:rsidRDefault="00E52A77" w:rsidP="00E52A7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En cuanto a la graduación de la sanción imponible, este Colegiado tiene en cuenta que el artículo 245º del Reglamento</w:t>
      </w:r>
      <w:r w:rsidRPr="00AA20E7">
        <w:rPr>
          <w:rStyle w:val="Refdenotaalpie"/>
          <w:rFonts w:ascii="Tahoma" w:hAnsi="Tahoma" w:cs="Tahoma"/>
          <w:sz w:val="20"/>
          <w:szCs w:val="20"/>
        </w:rPr>
        <w:footnoteReference w:id="8"/>
      </w:r>
      <w:r w:rsidRPr="00AA20E7">
        <w:rPr>
          <w:rFonts w:ascii="Tahoma" w:hAnsi="Tahoma" w:cs="Tahoma"/>
          <w:sz w:val="20"/>
          <w:szCs w:val="20"/>
        </w:rPr>
        <w:t xml:space="preserve">, establece los criterios de graduación de la sanción, los </w:t>
      </w:r>
      <w:r w:rsidRPr="00AA20E7">
        <w:rPr>
          <w:rFonts w:ascii="Tahoma" w:hAnsi="Tahoma" w:cs="Tahoma"/>
          <w:sz w:val="20"/>
          <w:szCs w:val="20"/>
        </w:rPr>
        <w:lastRenderedPageBreak/>
        <w:t>mismos que deben ser tomados en cuenta al momento de fijar la sanción a imponerse al Postor, entre ellos tenemos la naturaleza de la infracción, intencionalidad, reiterancia, daño causado, circunstancias y conducta procesal del infractor.</w:t>
      </w:r>
    </w:p>
    <w:p w:rsidR="00E52A77" w:rsidRPr="00E52A77" w:rsidRDefault="00E52A77" w:rsidP="00E52A7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En ese sentido, en razón de la naturaleza de la infracción cometida y del proceso de selección el cual deviene de una exoneración, el monto involucrado ascendente a (S/. 417,950.00); así como el daño causado a la Entidad </w:t>
      </w:r>
      <w:r w:rsidRPr="00AA20E7">
        <w:rPr>
          <w:rFonts w:ascii="Tahoma" w:hAnsi="Tahoma" w:cs="Tahoma"/>
          <w:sz w:val="20"/>
          <w:szCs w:val="20"/>
          <w:lang w:val="es-PE"/>
        </w:rPr>
        <w:t xml:space="preserve">al </w:t>
      </w:r>
      <w:r w:rsidRPr="00AA20E7">
        <w:rPr>
          <w:rFonts w:ascii="Tahoma" w:hAnsi="Tahoma" w:cs="Tahoma"/>
          <w:sz w:val="20"/>
          <w:szCs w:val="20"/>
        </w:rPr>
        <w:t>retrasar el cumplimiento de sus objetivos trazados con anterioridad; sin perjuicio de valorar, además, que el Postor no ha sido sancionado administrativamente con anterioridad por este Tribunal.</w:t>
      </w:r>
    </w:p>
    <w:p w:rsidR="00E52A77" w:rsidRPr="00E52A77" w:rsidRDefault="00E52A77" w:rsidP="00E52A7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Asimismo, es necesario indicar, respecto a la conducta procesal del Postor, que éste cumplió con presentar los descargos correspondientes dentro del plazo otorgado evitando ocasionar innecesariamente la dilación del proceso.</w:t>
      </w:r>
    </w:p>
    <w:p w:rsidR="00E52A77" w:rsidRPr="00E52A77" w:rsidRDefault="00E52A77" w:rsidP="00E52A77">
      <w:pPr>
        <w:spacing w:after="0" w:line="240" w:lineRule="auto"/>
        <w:ind w:left="540"/>
        <w:jc w:val="both"/>
        <w:rPr>
          <w:rFonts w:ascii="Tahoma" w:hAnsi="Tahoma" w:cs="Tahoma"/>
          <w:sz w:val="20"/>
          <w:szCs w:val="20"/>
          <w:lang w:val="es-ES_tradnl"/>
        </w:rPr>
      </w:pPr>
    </w:p>
    <w:p w:rsidR="00242252" w:rsidRPr="00AA20E7" w:rsidRDefault="00242252" w:rsidP="00AA20E7">
      <w:pPr>
        <w:numPr>
          <w:ilvl w:val="1"/>
          <w:numId w:val="10"/>
        </w:numPr>
        <w:tabs>
          <w:tab w:val="clear" w:pos="1080"/>
          <w:tab w:val="num" w:pos="540"/>
        </w:tabs>
        <w:spacing w:after="0" w:line="240" w:lineRule="auto"/>
        <w:ind w:left="540" w:hanging="540"/>
        <w:jc w:val="both"/>
        <w:rPr>
          <w:rFonts w:ascii="Tahoma" w:hAnsi="Tahoma" w:cs="Tahoma"/>
          <w:sz w:val="20"/>
          <w:szCs w:val="20"/>
          <w:lang w:val="es-ES_tradnl"/>
        </w:rPr>
      </w:pPr>
      <w:r w:rsidRPr="00AA20E7">
        <w:rPr>
          <w:rFonts w:ascii="Tahoma" w:hAnsi="Tahoma" w:cs="Tahoma"/>
          <w:sz w:val="20"/>
          <w:szCs w:val="20"/>
        </w:rPr>
        <w:t xml:space="preserve">En atención a lo expuesto, y en aplicación de lo prescrito por el </w:t>
      </w:r>
      <w:r w:rsidRPr="00AA20E7">
        <w:rPr>
          <w:rFonts w:ascii="Tahoma" w:hAnsi="Tahoma" w:cs="Tahoma"/>
          <w:i/>
          <w:iCs/>
          <w:sz w:val="20"/>
          <w:szCs w:val="20"/>
        </w:rPr>
        <w:t>Principio de Razonabilidad</w:t>
      </w:r>
      <w:r w:rsidRPr="00AA20E7">
        <w:rPr>
          <w:rFonts w:ascii="Tahoma" w:hAnsi="Tahoma" w:cs="Tahoma"/>
          <w:sz w:val="20"/>
          <w:szCs w:val="20"/>
          <w:vertAlign w:val="superscript"/>
        </w:rPr>
        <w:footnoteReference w:id="9"/>
      </w:r>
      <w:r w:rsidRPr="00AA20E7">
        <w:rPr>
          <w:rFonts w:ascii="Tahoma" w:hAnsi="Tahoma" w:cs="Tahoma"/>
          <w:sz w:val="20"/>
          <w:szCs w:val="20"/>
        </w:rPr>
        <w:t xml:space="preserve"> previsto en el numeral 3 del artículo 230 de la Ley N.º 27444 aconseja que las sanciones no deben ser desproporcionadas y que deben guardar atención con la conducta a reprimir, atendiendo a la necesidad de que los postores no deban verse privados de su derecho de proveer al Estado más allá de lo estrictamente necesario para satisfacer los fines de la sanción; este Colegiado considera que debe imponerse al Postor </w:t>
      </w:r>
      <w:r w:rsidRPr="00AA20E7">
        <w:rPr>
          <w:rFonts w:ascii="Tahoma" w:hAnsi="Tahoma" w:cs="Tahoma"/>
          <w:sz w:val="20"/>
          <w:szCs w:val="20"/>
          <w:lang w:val="es-PE"/>
        </w:rPr>
        <w:t xml:space="preserve">la sanción </w:t>
      </w:r>
      <w:r w:rsidRPr="00AA20E7">
        <w:rPr>
          <w:rFonts w:ascii="Tahoma" w:hAnsi="Tahoma" w:cs="Tahoma"/>
          <w:sz w:val="20"/>
          <w:szCs w:val="20"/>
        </w:rPr>
        <w:t>de inhabilitación temporal</w:t>
      </w:r>
      <w:r w:rsidRPr="00AA20E7">
        <w:rPr>
          <w:rFonts w:ascii="Tahoma" w:hAnsi="Tahoma" w:cs="Tahoma"/>
          <w:b/>
          <w:bCs/>
          <w:sz w:val="20"/>
          <w:szCs w:val="20"/>
        </w:rPr>
        <w:t xml:space="preserve"> </w:t>
      </w:r>
      <w:r w:rsidRPr="00AA20E7">
        <w:rPr>
          <w:rFonts w:ascii="Tahoma" w:hAnsi="Tahoma" w:cs="Tahoma"/>
          <w:sz w:val="20"/>
          <w:szCs w:val="20"/>
        </w:rPr>
        <w:t>en su derecho de participar en procesos de selección y contratar con el Estado por el período de doce (12) meses</w:t>
      </w:r>
      <w:r w:rsidRPr="00AA20E7">
        <w:rPr>
          <w:rFonts w:ascii="Tahoma" w:hAnsi="Tahoma" w:cs="Tahoma"/>
          <w:b/>
          <w:bCs/>
          <w:sz w:val="20"/>
          <w:szCs w:val="20"/>
        </w:rPr>
        <w:t>.</w:t>
      </w:r>
    </w:p>
    <w:p w:rsidR="00242252" w:rsidRPr="00AA20E7" w:rsidRDefault="00242252" w:rsidP="00AA20E7">
      <w:pPr>
        <w:spacing w:after="0" w:line="240" w:lineRule="auto"/>
        <w:ind w:firstLine="567"/>
        <w:jc w:val="both"/>
        <w:rPr>
          <w:rFonts w:ascii="Tahoma" w:hAnsi="Tahoma" w:cs="Tahoma"/>
          <w:sz w:val="20"/>
          <w:szCs w:val="20"/>
        </w:rPr>
      </w:pPr>
    </w:p>
    <w:p w:rsidR="00242252" w:rsidRPr="00AA20E7" w:rsidRDefault="00242252" w:rsidP="00AA20E7">
      <w:pPr>
        <w:spacing w:after="0" w:line="240" w:lineRule="auto"/>
        <w:ind w:left="-284" w:firstLine="360"/>
        <w:jc w:val="both"/>
        <w:rPr>
          <w:rFonts w:ascii="Tahoma" w:hAnsi="Tahoma" w:cs="Tahoma"/>
          <w:sz w:val="20"/>
          <w:szCs w:val="20"/>
        </w:rPr>
      </w:pPr>
      <w:r w:rsidRPr="00AA20E7">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w:t>
      </w:r>
      <w:r w:rsidR="00430289">
        <w:rPr>
          <w:rFonts w:ascii="Tahoma" w:hAnsi="Tahoma" w:cs="Tahoma"/>
          <w:sz w:val="20"/>
          <w:szCs w:val="20"/>
        </w:rPr>
        <w:t xml:space="preserve"> el Acuerdo Nº 005/003 de fecha 04 de marzo de 2002,</w:t>
      </w:r>
      <w:r w:rsidRPr="00AA20E7">
        <w:rPr>
          <w:rFonts w:ascii="Tahoma" w:hAnsi="Tahoma" w:cs="Tahoma"/>
          <w:sz w:val="20"/>
          <w:szCs w:val="20"/>
        </w:rPr>
        <w:t xml:space="preserve">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242252" w:rsidRPr="00AA20E7" w:rsidRDefault="00242252" w:rsidP="00AA20E7">
      <w:pPr>
        <w:spacing w:after="0" w:line="240" w:lineRule="auto"/>
        <w:jc w:val="both"/>
        <w:rPr>
          <w:rFonts w:ascii="Tahoma" w:hAnsi="Tahoma" w:cs="Tahoma"/>
          <w:sz w:val="20"/>
          <w:szCs w:val="20"/>
        </w:rPr>
      </w:pPr>
    </w:p>
    <w:p w:rsidR="00242252" w:rsidRPr="00AA20E7" w:rsidRDefault="00242252" w:rsidP="00AA20E7">
      <w:pPr>
        <w:spacing w:after="0" w:line="240" w:lineRule="auto"/>
        <w:ind w:right="-315"/>
        <w:jc w:val="both"/>
        <w:rPr>
          <w:rFonts w:ascii="Tahoma" w:hAnsi="Tahoma" w:cs="Tahoma"/>
          <w:b/>
          <w:sz w:val="20"/>
          <w:szCs w:val="20"/>
        </w:rPr>
      </w:pPr>
      <w:r w:rsidRPr="00AA20E7">
        <w:rPr>
          <w:rFonts w:ascii="Tahoma" w:hAnsi="Tahoma" w:cs="Tahoma"/>
          <w:b/>
          <w:sz w:val="20"/>
          <w:szCs w:val="20"/>
        </w:rPr>
        <w:lastRenderedPageBreak/>
        <w:t>LA SALA RESUELVE:</w:t>
      </w:r>
    </w:p>
    <w:p w:rsidR="00E52A77" w:rsidRDefault="00E52A77" w:rsidP="00E52A77">
      <w:pPr>
        <w:spacing w:after="0" w:line="240" w:lineRule="auto"/>
        <w:ind w:left="360"/>
        <w:jc w:val="both"/>
        <w:rPr>
          <w:rFonts w:ascii="Tahoma" w:hAnsi="Tahoma" w:cs="Tahoma"/>
          <w:sz w:val="20"/>
          <w:szCs w:val="20"/>
        </w:rPr>
      </w:pPr>
    </w:p>
    <w:p w:rsidR="00E52A77" w:rsidRDefault="00242252" w:rsidP="00E52A77">
      <w:pPr>
        <w:numPr>
          <w:ilvl w:val="0"/>
          <w:numId w:val="11"/>
        </w:numPr>
        <w:tabs>
          <w:tab w:val="clear" w:pos="720"/>
          <w:tab w:val="num" w:pos="360"/>
        </w:tabs>
        <w:spacing w:after="0" w:line="240" w:lineRule="auto"/>
        <w:ind w:left="360"/>
        <w:jc w:val="both"/>
        <w:rPr>
          <w:rFonts w:ascii="Tahoma" w:hAnsi="Tahoma" w:cs="Tahoma"/>
          <w:sz w:val="20"/>
          <w:szCs w:val="20"/>
        </w:rPr>
      </w:pPr>
      <w:r w:rsidRPr="00E52A77">
        <w:rPr>
          <w:rFonts w:ascii="Tahoma" w:hAnsi="Tahoma" w:cs="Tahoma"/>
          <w:sz w:val="20"/>
          <w:szCs w:val="20"/>
        </w:rPr>
        <w:t>Sancionar a la empresa BIENES Y MULTISERVICIOS INTEGRANTES S.A.C. con doce (12)</w:t>
      </w:r>
      <w:r w:rsidRPr="00E52A77">
        <w:rPr>
          <w:rFonts w:ascii="Tahoma" w:hAnsi="Tahoma" w:cs="Tahoma"/>
          <w:b/>
          <w:bCs/>
          <w:sz w:val="20"/>
          <w:szCs w:val="20"/>
        </w:rPr>
        <w:t xml:space="preserve"> </w:t>
      </w:r>
      <w:r w:rsidRPr="00E52A77">
        <w:rPr>
          <w:rFonts w:ascii="Tahoma" w:hAnsi="Tahoma" w:cs="Tahoma"/>
          <w:sz w:val="20"/>
          <w:szCs w:val="20"/>
        </w:rPr>
        <w:t>meses de inhabilitación temporal</w:t>
      </w:r>
      <w:r w:rsidRPr="00E52A77">
        <w:rPr>
          <w:rFonts w:ascii="Tahoma" w:hAnsi="Tahoma" w:cs="Tahoma"/>
          <w:b/>
          <w:bCs/>
          <w:sz w:val="20"/>
          <w:szCs w:val="20"/>
        </w:rPr>
        <w:t xml:space="preserve"> </w:t>
      </w:r>
      <w:r w:rsidRPr="00E52A77">
        <w:rPr>
          <w:rFonts w:ascii="Tahoma" w:hAnsi="Tahoma" w:cs="Tahoma"/>
          <w:sz w:val="20"/>
          <w:szCs w:val="20"/>
        </w:rPr>
        <w:t xml:space="preserve">en su derecho de participar en procesos de selección y contratar con el Estado, por incurrir en la infracción tipificada en el numeral 51.1 literal a) del artículo 51 de la Ley de Contrataciones del Estado y en el numeral 1 literal a) del artículo 237 del Reglamento de la Ley, aprobado por Decreto Legislativo Nº 1017, y Decreto Supremo </w:t>
      </w:r>
      <w:r w:rsidRPr="00E52A77">
        <w:rPr>
          <w:rFonts w:ascii="Tahoma" w:hAnsi="Tahoma" w:cs="Tahoma"/>
          <w:sz w:val="20"/>
          <w:szCs w:val="20"/>
        </w:rPr>
        <w:br/>
        <w:t>N° 184-2008-EF; sanción que tendrá vigencia a partir del sexto día hábil siguiente de notificada la presente resolución.</w:t>
      </w:r>
    </w:p>
    <w:p w:rsidR="00E52A77" w:rsidRDefault="00E52A77" w:rsidP="00E52A77">
      <w:pPr>
        <w:spacing w:after="0" w:line="240" w:lineRule="auto"/>
        <w:ind w:left="360"/>
        <w:jc w:val="both"/>
        <w:rPr>
          <w:rFonts w:ascii="Tahoma" w:hAnsi="Tahoma" w:cs="Tahoma"/>
          <w:sz w:val="20"/>
          <w:szCs w:val="20"/>
        </w:rPr>
      </w:pPr>
    </w:p>
    <w:p w:rsidR="00242252" w:rsidRPr="00E52A77" w:rsidRDefault="00242252" w:rsidP="00E52A77">
      <w:pPr>
        <w:numPr>
          <w:ilvl w:val="0"/>
          <w:numId w:val="11"/>
        </w:numPr>
        <w:tabs>
          <w:tab w:val="clear" w:pos="720"/>
          <w:tab w:val="num" w:pos="360"/>
        </w:tabs>
        <w:spacing w:after="0" w:line="240" w:lineRule="auto"/>
        <w:ind w:left="360"/>
        <w:jc w:val="both"/>
        <w:rPr>
          <w:rFonts w:ascii="Tahoma" w:hAnsi="Tahoma" w:cs="Tahoma"/>
          <w:sz w:val="20"/>
          <w:szCs w:val="20"/>
        </w:rPr>
      </w:pPr>
      <w:r w:rsidRPr="00E52A77">
        <w:rPr>
          <w:rFonts w:ascii="Tahoma" w:hAnsi="Tahoma" w:cs="Tahoma"/>
          <w:sz w:val="20"/>
          <w:szCs w:val="20"/>
        </w:rPr>
        <w:t>Poner la presente resolución en conocimiento a la Sub Dirección de Registros del OSCE para las anotaciones de ley.</w:t>
      </w:r>
    </w:p>
    <w:p w:rsidR="00242252" w:rsidRPr="00AA20E7" w:rsidRDefault="00242252" w:rsidP="00AA20E7">
      <w:pPr>
        <w:pStyle w:val="Ttulo3"/>
        <w:spacing w:line="240" w:lineRule="auto"/>
        <w:jc w:val="both"/>
        <w:rPr>
          <w:rFonts w:ascii="Tahoma" w:hAnsi="Tahoma" w:cs="Tahoma"/>
          <w:b w:val="0"/>
          <w:bCs w:val="0"/>
          <w:sz w:val="20"/>
          <w:szCs w:val="20"/>
        </w:rPr>
      </w:pPr>
      <w:r w:rsidRPr="00AA20E7">
        <w:rPr>
          <w:rFonts w:ascii="Tahoma" w:hAnsi="Tahoma" w:cs="Tahoma"/>
          <w:b w:val="0"/>
          <w:sz w:val="20"/>
          <w:szCs w:val="20"/>
        </w:rPr>
        <w:t>Regístrese, comuníquese y publíquese.</w:t>
      </w:r>
    </w:p>
    <w:p w:rsidR="00242252" w:rsidRPr="00AA20E7" w:rsidRDefault="00242252" w:rsidP="00AA20E7">
      <w:pPr>
        <w:spacing w:after="0" w:line="240" w:lineRule="auto"/>
        <w:jc w:val="both"/>
        <w:rPr>
          <w:rFonts w:ascii="Tahoma" w:hAnsi="Tahoma" w:cs="Tahoma"/>
          <w:b/>
          <w:shadow/>
          <w:sz w:val="20"/>
          <w:szCs w:val="20"/>
        </w:rPr>
      </w:pPr>
    </w:p>
    <w:p w:rsidR="00242252" w:rsidRDefault="00242252" w:rsidP="00AA20E7">
      <w:pPr>
        <w:spacing w:after="0" w:line="240" w:lineRule="auto"/>
        <w:jc w:val="both"/>
        <w:rPr>
          <w:rFonts w:ascii="Tahoma" w:hAnsi="Tahoma" w:cs="Tahoma"/>
          <w:b/>
          <w:shadow/>
          <w:sz w:val="20"/>
          <w:szCs w:val="20"/>
        </w:rPr>
      </w:pPr>
    </w:p>
    <w:p w:rsidR="00430289" w:rsidRDefault="00430289" w:rsidP="00AA20E7">
      <w:pPr>
        <w:spacing w:after="0" w:line="240" w:lineRule="auto"/>
        <w:jc w:val="both"/>
        <w:rPr>
          <w:rFonts w:ascii="Tahoma" w:hAnsi="Tahoma" w:cs="Tahoma"/>
          <w:b/>
          <w:shadow/>
          <w:sz w:val="20"/>
          <w:szCs w:val="20"/>
        </w:rPr>
      </w:pPr>
    </w:p>
    <w:p w:rsidR="00430289" w:rsidRPr="00AA20E7" w:rsidRDefault="00430289" w:rsidP="00AA20E7">
      <w:pPr>
        <w:spacing w:after="0" w:line="240" w:lineRule="auto"/>
        <w:jc w:val="both"/>
        <w:rPr>
          <w:rFonts w:ascii="Tahoma" w:hAnsi="Tahoma" w:cs="Tahoma"/>
          <w:b/>
          <w:shadow/>
          <w:sz w:val="20"/>
          <w:szCs w:val="20"/>
        </w:rPr>
      </w:pPr>
    </w:p>
    <w:p w:rsidR="00242252" w:rsidRPr="00AA20E7" w:rsidRDefault="00242252" w:rsidP="00AA20E7">
      <w:pPr>
        <w:spacing w:after="0" w:line="240" w:lineRule="auto"/>
        <w:jc w:val="both"/>
        <w:rPr>
          <w:rFonts w:ascii="Tahoma" w:hAnsi="Tahoma" w:cs="Tahoma"/>
          <w:b/>
          <w:shadow/>
          <w:sz w:val="20"/>
          <w:szCs w:val="20"/>
        </w:rPr>
      </w:pPr>
    </w:p>
    <w:p w:rsidR="00242252" w:rsidRPr="00AA20E7" w:rsidRDefault="00242252" w:rsidP="00AA20E7">
      <w:pPr>
        <w:spacing w:after="0" w:line="240" w:lineRule="auto"/>
        <w:ind w:left="2832" w:firstLine="708"/>
        <w:jc w:val="both"/>
        <w:rPr>
          <w:rFonts w:ascii="Tahoma" w:hAnsi="Tahoma" w:cs="Tahoma"/>
          <w:b/>
          <w:shadow/>
          <w:sz w:val="20"/>
          <w:szCs w:val="20"/>
        </w:rPr>
      </w:pPr>
      <w:r w:rsidRPr="00AA20E7">
        <w:rPr>
          <w:rFonts w:ascii="Tahoma" w:hAnsi="Tahoma" w:cs="Tahoma"/>
          <w:b/>
          <w:shadow/>
          <w:sz w:val="20"/>
          <w:szCs w:val="20"/>
        </w:rPr>
        <w:t>PRESIDENTE</w:t>
      </w:r>
    </w:p>
    <w:p w:rsidR="00242252" w:rsidRPr="00AA20E7" w:rsidRDefault="00242252" w:rsidP="00AA20E7">
      <w:pPr>
        <w:spacing w:after="0" w:line="240" w:lineRule="auto"/>
        <w:jc w:val="both"/>
        <w:rPr>
          <w:rFonts w:ascii="Tahoma" w:hAnsi="Tahoma" w:cs="Tahoma"/>
          <w:b/>
          <w:shadow/>
          <w:sz w:val="20"/>
          <w:szCs w:val="20"/>
        </w:rPr>
      </w:pPr>
    </w:p>
    <w:p w:rsidR="00242252" w:rsidRDefault="00242252" w:rsidP="00AA20E7">
      <w:pPr>
        <w:spacing w:after="0" w:line="240" w:lineRule="auto"/>
        <w:jc w:val="both"/>
        <w:rPr>
          <w:rFonts w:ascii="Tahoma" w:hAnsi="Tahoma" w:cs="Tahoma"/>
          <w:b/>
          <w:shadow/>
          <w:sz w:val="20"/>
          <w:szCs w:val="20"/>
        </w:rPr>
      </w:pPr>
    </w:p>
    <w:p w:rsidR="00430289" w:rsidRDefault="00430289" w:rsidP="00AA20E7">
      <w:pPr>
        <w:spacing w:after="0" w:line="240" w:lineRule="auto"/>
        <w:jc w:val="both"/>
        <w:rPr>
          <w:rFonts w:ascii="Tahoma" w:hAnsi="Tahoma" w:cs="Tahoma"/>
          <w:b/>
          <w:shadow/>
          <w:sz w:val="20"/>
          <w:szCs w:val="20"/>
        </w:rPr>
      </w:pPr>
    </w:p>
    <w:p w:rsidR="00430289" w:rsidRPr="00AA20E7" w:rsidRDefault="00430289" w:rsidP="00AA20E7">
      <w:pPr>
        <w:spacing w:after="0" w:line="240" w:lineRule="auto"/>
        <w:jc w:val="both"/>
        <w:rPr>
          <w:rFonts w:ascii="Tahoma" w:hAnsi="Tahoma" w:cs="Tahoma"/>
          <w:b/>
          <w:shadow/>
          <w:sz w:val="20"/>
          <w:szCs w:val="20"/>
        </w:rPr>
      </w:pPr>
    </w:p>
    <w:p w:rsidR="00242252" w:rsidRPr="00AA20E7" w:rsidRDefault="00242252" w:rsidP="00AA20E7">
      <w:pPr>
        <w:spacing w:after="0" w:line="240" w:lineRule="auto"/>
        <w:jc w:val="both"/>
        <w:rPr>
          <w:rFonts w:ascii="Tahoma" w:hAnsi="Tahoma" w:cs="Tahoma"/>
          <w:b/>
          <w:shadow/>
          <w:sz w:val="20"/>
          <w:szCs w:val="20"/>
        </w:rPr>
      </w:pPr>
    </w:p>
    <w:p w:rsidR="00242252" w:rsidRPr="00AA20E7" w:rsidRDefault="00242252" w:rsidP="00AA20E7">
      <w:pPr>
        <w:spacing w:after="0" w:line="240" w:lineRule="auto"/>
        <w:jc w:val="both"/>
        <w:rPr>
          <w:rFonts w:ascii="Tahoma" w:hAnsi="Tahoma" w:cs="Tahoma"/>
          <w:shadow/>
          <w:sz w:val="20"/>
          <w:szCs w:val="20"/>
        </w:rPr>
      </w:pPr>
      <w:r w:rsidRPr="00AA20E7">
        <w:rPr>
          <w:rFonts w:ascii="Tahoma" w:hAnsi="Tahoma" w:cs="Tahoma"/>
          <w:b/>
          <w:shadow/>
          <w:sz w:val="20"/>
          <w:szCs w:val="20"/>
        </w:rPr>
        <w:t xml:space="preserve">                  VOCAL</w:t>
      </w:r>
      <w:r w:rsidRPr="00AA20E7">
        <w:rPr>
          <w:rFonts w:ascii="Tahoma" w:hAnsi="Tahoma" w:cs="Tahoma"/>
          <w:b/>
          <w:shadow/>
          <w:sz w:val="20"/>
          <w:szCs w:val="20"/>
        </w:rPr>
        <w:tab/>
      </w:r>
      <w:r w:rsidRPr="00AA20E7">
        <w:rPr>
          <w:rFonts w:ascii="Tahoma" w:hAnsi="Tahoma" w:cs="Tahoma"/>
          <w:b/>
          <w:shadow/>
          <w:sz w:val="20"/>
          <w:szCs w:val="20"/>
        </w:rPr>
        <w:tab/>
      </w:r>
      <w:r w:rsidRPr="00AA20E7">
        <w:rPr>
          <w:rFonts w:ascii="Tahoma" w:hAnsi="Tahoma" w:cs="Tahoma"/>
          <w:b/>
          <w:shadow/>
          <w:sz w:val="20"/>
          <w:szCs w:val="20"/>
        </w:rPr>
        <w:tab/>
      </w:r>
      <w:r w:rsidRPr="00AA20E7">
        <w:rPr>
          <w:rFonts w:ascii="Tahoma" w:hAnsi="Tahoma" w:cs="Tahoma"/>
          <w:b/>
          <w:shadow/>
          <w:sz w:val="20"/>
          <w:szCs w:val="20"/>
        </w:rPr>
        <w:tab/>
      </w:r>
      <w:r w:rsidRPr="00AA20E7">
        <w:rPr>
          <w:rFonts w:ascii="Tahoma" w:hAnsi="Tahoma" w:cs="Tahoma"/>
          <w:b/>
          <w:shadow/>
          <w:sz w:val="20"/>
          <w:szCs w:val="20"/>
        </w:rPr>
        <w:tab/>
      </w:r>
      <w:r w:rsidRPr="00AA20E7">
        <w:rPr>
          <w:rFonts w:ascii="Tahoma" w:hAnsi="Tahoma" w:cs="Tahoma"/>
          <w:b/>
          <w:shadow/>
          <w:sz w:val="20"/>
          <w:szCs w:val="20"/>
        </w:rPr>
        <w:tab/>
      </w:r>
      <w:r w:rsidRPr="00AA20E7">
        <w:rPr>
          <w:rFonts w:ascii="Tahoma" w:hAnsi="Tahoma" w:cs="Tahoma"/>
          <w:b/>
          <w:shadow/>
          <w:sz w:val="20"/>
          <w:szCs w:val="20"/>
        </w:rPr>
        <w:tab/>
      </w:r>
      <w:r w:rsidRPr="00AA20E7">
        <w:rPr>
          <w:rFonts w:ascii="Tahoma" w:hAnsi="Tahoma" w:cs="Tahoma"/>
          <w:b/>
          <w:shadow/>
          <w:sz w:val="20"/>
          <w:szCs w:val="20"/>
        </w:rPr>
        <w:tab/>
        <w:t xml:space="preserve">VOCAL                                                                 </w:t>
      </w:r>
    </w:p>
    <w:p w:rsidR="00242252" w:rsidRPr="00AA20E7" w:rsidRDefault="00242252" w:rsidP="00AA20E7">
      <w:pPr>
        <w:spacing w:after="0" w:line="240" w:lineRule="auto"/>
        <w:jc w:val="both"/>
        <w:rPr>
          <w:rFonts w:ascii="Tahoma" w:hAnsi="Tahoma" w:cs="Tahoma"/>
          <w:sz w:val="20"/>
          <w:szCs w:val="20"/>
        </w:rPr>
      </w:pPr>
    </w:p>
    <w:p w:rsidR="00242252" w:rsidRDefault="00242252" w:rsidP="00AA20E7">
      <w:pPr>
        <w:spacing w:after="0" w:line="240" w:lineRule="auto"/>
        <w:jc w:val="both"/>
        <w:rPr>
          <w:rFonts w:ascii="Tahoma" w:hAnsi="Tahoma" w:cs="Tahoma"/>
          <w:sz w:val="20"/>
          <w:szCs w:val="20"/>
        </w:rPr>
      </w:pPr>
    </w:p>
    <w:p w:rsidR="00430289" w:rsidRPr="00AA20E7" w:rsidRDefault="00430289" w:rsidP="00AA20E7">
      <w:pPr>
        <w:spacing w:after="0" w:line="240" w:lineRule="auto"/>
        <w:jc w:val="both"/>
        <w:rPr>
          <w:rFonts w:ascii="Tahoma" w:hAnsi="Tahoma" w:cs="Tahoma"/>
          <w:sz w:val="20"/>
          <w:szCs w:val="20"/>
        </w:rPr>
      </w:pPr>
    </w:p>
    <w:p w:rsidR="00242252" w:rsidRPr="00E52A77" w:rsidRDefault="00242252" w:rsidP="00AA20E7">
      <w:pPr>
        <w:spacing w:after="0" w:line="240" w:lineRule="auto"/>
        <w:jc w:val="both"/>
        <w:rPr>
          <w:rFonts w:ascii="Tahoma" w:hAnsi="Tahoma" w:cs="Tahoma"/>
          <w:sz w:val="18"/>
          <w:szCs w:val="18"/>
        </w:rPr>
      </w:pPr>
      <w:r w:rsidRPr="00E52A77">
        <w:rPr>
          <w:rFonts w:ascii="Tahoma" w:hAnsi="Tahoma" w:cs="Tahoma"/>
          <w:sz w:val="18"/>
          <w:szCs w:val="18"/>
        </w:rPr>
        <w:t>ss.</w:t>
      </w:r>
    </w:p>
    <w:p w:rsidR="00242252" w:rsidRPr="00E52A77" w:rsidRDefault="00242252" w:rsidP="00AA20E7">
      <w:pPr>
        <w:spacing w:after="0" w:line="240" w:lineRule="auto"/>
        <w:jc w:val="both"/>
        <w:rPr>
          <w:rFonts w:ascii="Tahoma" w:hAnsi="Tahoma" w:cs="Tahoma"/>
          <w:sz w:val="18"/>
          <w:szCs w:val="18"/>
        </w:rPr>
      </w:pPr>
      <w:r w:rsidRPr="00E52A77">
        <w:rPr>
          <w:rFonts w:ascii="Tahoma" w:hAnsi="Tahoma" w:cs="Tahoma"/>
          <w:sz w:val="18"/>
          <w:szCs w:val="18"/>
        </w:rPr>
        <w:t>Navas Rondón,</w:t>
      </w:r>
    </w:p>
    <w:p w:rsidR="00242252" w:rsidRPr="00E52A77" w:rsidRDefault="00242252" w:rsidP="00AA20E7">
      <w:pPr>
        <w:spacing w:after="0" w:line="240" w:lineRule="auto"/>
        <w:jc w:val="both"/>
        <w:rPr>
          <w:rFonts w:ascii="Tahoma" w:hAnsi="Tahoma" w:cs="Tahoma"/>
          <w:sz w:val="18"/>
          <w:szCs w:val="18"/>
        </w:rPr>
      </w:pPr>
      <w:r w:rsidRPr="00E52A77">
        <w:rPr>
          <w:rFonts w:ascii="Tahoma" w:hAnsi="Tahoma" w:cs="Tahoma"/>
          <w:sz w:val="18"/>
          <w:szCs w:val="18"/>
        </w:rPr>
        <w:t>Ramírez Maynetto,</w:t>
      </w:r>
    </w:p>
    <w:p w:rsidR="00242252" w:rsidRPr="00E52A77" w:rsidRDefault="00242252" w:rsidP="00AA20E7">
      <w:pPr>
        <w:spacing w:after="0" w:line="240" w:lineRule="auto"/>
        <w:jc w:val="both"/>
        <w:rPr>
          <w:rFonts w:ascii="Tahoma" w:hAnsi="Tahoma" w:cs="Tahoma"/>
          <w:sz w:val="18"/>
          <w:szCs w:val="18"/>
        </w:rPr>
      </w:pPr>
      <w:r w:rsidRPr="00E52A77">
        <w:rPr>
          <w:rFonts w:ascii="Tahoma" w:hAnsi="Tahoma" w:cs="Tahoma"/>
          <w:sz w:val="18"/>
          <w:szCs w:val="18"/>
        </w:rPr>
        <w:t>Basulto Liewald.</w:t>
      </w:r>
    </w:p>
    <w:p w:rsidR="00AA20E7" w:rsidRPr="00AA20E7" w:rsidRDefault="00AA20E7" w:rsidP="00AA20E7">
      <w:pPr>
        <w:spacing w:line="240" w:lineRule="auto"/>
        <w:rPr>
          <w:rFonts w:ascii="Tahoma" w:hAnsi="Tahoma" w:cs="Tahoma"/>
          <w:sz w:val="20"/>
          <w:szCs w:val="20"/>
        </w:rPr>
      </w:pPr>
    </w:p>
    <w:sectPr w:rsidR="00AA20E7" w:rsidRPr="00AA20E7" w:rsidSect="00AA20E7">
      <w:headerReference w:type="default" r:id="rId7"/>
      <w:footerReference w:type="default" r:id="rId8"/>
      <w:pgSz w:w="11906" w:h="16838"/>
      <w:pgMar w:top="2836" w:right="1416" w:bottom="1843"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FF6" w:rsidRDefault="00501FF6" w:rsidP="00242252">
      <w:pPr>
        <w:spacing w:after="0" w:line="240" w:lineRule="auto"/>
      </w:pPr>
      <w:r>
        <w:separator/>
      </w:r>
    </w:p>
  </w:endnote>
  <w:endnote w:type="continuationSeparator" w:id="1">
    <w:p w:rsidR="00501FF6" w:rsidRDefault="00501FF6" w:rsidP="002422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A77" w:rsidRPr="00FD5A0C" w:rsidRDefault="00E52A77">
    <w:pPr>
      <w:pStyle w:val="Piedepgina"/>
      <w:jc w:val="center"/>
      <w:rPr>
        <w:rFonts w:ascii="Tahoma" w:hAnsi="Tahoma" w:cs="Tahoma"/>
        <w:i/>
        <w:sz w:val="18"/>
        <w:szCs w:val="18"/>
      </w:rPr>
    </w:pPr>
    <w:r w:rsidRPr="00FD5A0C">
      <w:rPr>
        <w:rFonts w:ascii="Tahoma" w:hAnsi="Tahoma" w:cs="Tahoma"/>
        <w:i/>
        <w:sz w:val="18"/>
        <w:szCs w:val="18"/>
      </w:rPr>
      <w:t xml:space="preserve">Página </w:t>
    </w:r>
    <w:r w:rsidR="00CE3F3A" w:rsidRPr="00FD5A0C">
      <w:rPr>
        <w:rFonts w:ascii="Tahoma" w:hAnsi="Tahoma" w:cs="Tahoma"/>
        <w:i/>
        <w:sz w:val="18"/>
        <w:szCs w:val="18"/>
      </w:rPr>
      <w:fldChar w:fldCharType="begin"/>
    </w:r>
    <w:r w:rsidRPr="00FD5A0C">
      <w:rPr>
        <w:rFonts w:ascii="Tahoma" w:hAnsi="Tahoma" w:cs="Tahoma"/>
        <w:i/>
        <w:sz w:val="18"/>
        <w:szCs w:val="18"/>
      </w:rPr>
      <w:instrText>PAGE</w:instrText>
    </w:r>
    <w:r w:rsidR="00CE3F3A" w:rsidRPr="00FD5A0C">
      <w:rPr>
        <w:rFonts w:ascii="Tahoma" w:hAnsi="Tahoma" w:cs="Tahoma"/>
        <w:i/>
        <w:sz w:val="18"/>
        <w:szCs w:val="18"/>
      </w:rPr>
      <w:fldChar w:fldCharType="separate"/>
    </w:r>
    <w:r w:rsidR="0026437F">
      <w:rPr>
        <w:rFonts w:ascii="Tahoma" w:hAnsi="Tahoma" w:cs="Tahoma"/>
        <w:i/>
        <w:noProof/>
        <w:sz w:val="18"/>
        <w:szCs w:val="18"/>
      </w:rPr>
      <w:t>1</w:t>
    </w:r>
    <w:r w:rsidR="00CE3F3A" w:rsidRPr="00FD5A0C">
      <w:rPr>
        <w:rFonts w:ascii="Tahoma" w:hAnsi="Tahoma" w:cs="Tahoma"/>
        <w:i/>
        <w:sz w:val="18"/>
        <w:szCs w:val="18"/>
      </w:rPr>
      <w:fldChar w:fldCharType="end"/>
    </w:r>
    <w:r w:rsidRPr="00FD5A0C">
      <w:rPr>
        <w:rFonts w:ascii="Tahoma" w:hAnsi="Tahoma" w:cs="Tahoma"/>
        <w:i/>
        <w:sz w:val="18"/>
        <w:szCs w:val="18"/>
      </w:rPr>
      <w:t xml:space="preserve"> de </w:t>
    </w:r>
    <w:r w:rsidR="00CE3F3A" w:rsidRPr="00FD5A0C">
      <w:rPr>
        <w:rFonts w:ascii="Tahoma" w:hAnsi="Tahoma" w:cs="Tahoma"/>
        <w:i/>
        <w:sz w:val="18"/>
        <w:szCs w:val="18"/>
      </w:rPr>
      <w:fldChar w:fldCharType="begin"/>
    </w:r>
    <w:r w:rsidRPr="00FD5A0C">
      <w:rPr>
        <w:rFonts w:ascii="Tahoma" w:hAnsi="Tahoma" w:cs="Tahoma"/>
        <w:i/>
        <w:sz w:val="18"/>
        <w:szCs w:val="18"/>
      </w:rPr>
      <w:instrText>NUMPAGES</w:instrText>
    </w:r>
    <w:r w:rsidR="00CE3F3A" w:rsidRPr="00FD5A0C">
      <w:rPr>
        <w:rFonts w:ascii="Tahoma" w:hAnsi="Tahoma" w:cs="Tahoma"/>
        <w:i/>
        <w:sz w:val="18"/>
        <w:szCs w:val="18"/>
      </w:rPr>
      <w:fldChar w:fldCharType="separate"/>
    </w:r>
    <w:r w:rsidR="0026437F">
      <w:rPr>
        <w:rFonts w:ascii="Tahoma" w:hAnsi="Tahoma" w:cs="Tahoma"/>
        <w:i/>
        <w:noProof/>
        <w:sz w:val="18"/>
        <w:szCs w:val="18"/>
      </w:rPr>
      <w:t>10</w:t>
    </w:r>
    <w:r w:rsidR="00CE3F3A" w:rsidRPr="00FD5A0C">
      <w:rPr>
        <w:rFonts w:ascii="Tahoma" w:hAnsi="Tahoma" w:cs="Tahoma"/>
        <w:i/>
        <w:sz w:val="18"/>
        <w:szCs w:val="18"/>
      </w:rPr>
      <w:fldChar w:fldCharType="end"/>
    </w:r>
  </w:p>
  <w:p w:rsidR="00E52A77" w:rsidRDefault="00E52A7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FF6" w:rsidRDefault="00501FF6" w:rsidP="00242252">
      <w:pPr>
        <w:spacing w:after="0" w:line="240" w:lineRule="auto"/>
      </w:pPr>
      <w:r>
        <w:separator/>
      </w:r>
    </w:p>
  </w:footnote>
  <w:footnote w:type="continuationSeparator" w:id="1">
    <w:p w:rsidR="00501FF6" w:rsidRDefault="00501FF6" w:rsidP="00242252">
      <w:pPr>
        <w:spacing w:after="0" w:line="240" w:lineRule="auto"/>
      </w:pPr>
      <w:r>
        <w:continuationSeparator/>
      </w:r>
    </w:p>
  </w:footnote>
  <w:footnote w:id="2">
    <w:p w:rsidR="00E52A77" w:rsidRPr="000D5080" w:rsidRDefault="00E52A77" w:rsidP="00242252">
      <w:pPr>
        <w:pStyle w:val="Textonotapie"/>
        <w:tabs>
          <w:tab w:val="left" w:pos="142"/>
          <w:tab w:val="left" w:pos="540"/>
        </w:tabs>
        <w:ind w:left="142" w:hanging="142"/>
        <w:rPr>
          <w:sz w:val="16"/>
          <w:szCs w:val="16"/>
        </w:rPr>
      </w:pPr>
      <w:r w:rsidRPr="000D5080">
        <w:rPr>
          <w:rStyle w:val="Refdenotaalpie"/>
          <w:sz w:val="16"/>
          <w:szCs w:val="16"/>
        </w:rPr>
        <w:footnoteRef/>
      </w:r>
      <w:r w:rsidRPr="000D5080">
        <w:rPr>
          <w:sz w:val="16"/>
          <w:szCs w:val="16"/>
        </w:rPr>
        <w:t xml:space="preserve"> </w:t>
      </w:r>
      <w:r w:rsidRPr="000D5080">
        <w:rPr>
          <w:sz w:val="16"/>
          <w:szCs w:val="16"/>
        </w:rPr>
        <w:tab/>
        <w:t>Para Manuel De La Puente y Lavalle, el consentimiento es la integración de las voluntades de las partes para dar lugar a un acto jurídico unitario, de manera tal que el contrato es el resultado de esa integración. Según el citado autor, para que exista consentimiento se requiere que las partes estén totalmente de acuerdo sobre la celebración del contrato en los términos del mismo.</w:t>
      </w:r>
    </w:p>
    <w:p w:rsidR="00E52A77" w:rsidRDefault="00E52A77" w:rsidP="00242252">
      <w:pPr>
        <w:pStyle w:val="Textonotapie"/>
        <w:tabs>
          <w:tab w:val="left" w:pos="142"/>
          <w:tab w:val="left" w:pos="540"/>
        </w:tabs>
        <w:ind w:left="142" w:hanging="142"/>
      </w:pPr>
      <w:r w:rsidRPr="000D5080">
        <w:rPr>
          <w:sz w:val="16"/>
          <w:szCs w:val="16"/>
        </w:rPr>
        <w:tab/>
      </w:r>
      <w:r w:rsidRPr="000D5080">
        <w:rPr>
          <w:i/>
          <w:iCs/>
          <w:sz w:val="16"/>
          <w:szCs w:val="16"/>
          <w:u w:val="single"/>
        </w:rPr>
        <w:t>En: “El Contrato en general”: Comentarios a la Sección Primera del Código Civil; Tomo 1; Pontificia Universidad Católica del Perú – Fondo Editorial 1996; Lima Perú; Páginas 127-130</w:t>
      </w:r>
      <w:r>
        <w:rPr>
          <w:sz w:val="16"/>
          <w:szCs w:val="16"/>
        </w:rPr>
        <w:t>.</w:t>
      </w:r>
    </w:p>
  </w:footnote>
  <w:footnote w:id="3">
    <w:p w:rsidR="00E52A77" w:rsidRDefault="00E52A77" w:rsidP="00242252">
      <w:pPr>
        <w:pStyle w:val="Textonotapie"/>
        <w:tabs>
          <w:tab w:val="left" w:pos="142"/>
        </w:tabs>
        <w:ind w:left="142" w:hanging="142"/>
      </w:pPr>
      <w:r w:rsidRPr="000D5080">
        <w:rPr>
          <w:rStyle w:val="Refdenotaalpie"/>
          <w:sz w:val="16"/>
          <w:szCs w:val="16"/>
        </w:rPr>
        <w:footnoteRef/>
      </w:r>
      <w:r>
        <w:rPr>
          <w:sz w:val="16"/>
          <w:szCs w:val="16"/>
        </w:rPr>
        <w:t xml:space="preserve"> </w:t>
      </w:r>
      <w:r>
        <w:rPr>
          <w:sz w:val="16"/>
          <w:szCs w:val="16"/>
        </w:rPr>
        <w:tab/>
      </w:r>
      <w:r w:rsidRPr="000D5080">
        <w:rPr>
          <w:sz w:val="16"/>
          <w:szCs w:val="16"/>
        </w:rPr>
        <w:t>Licitación Pública: Roberto Dromi; Buenos Aires; Editorial Ciudad Argentina; 1999; Pag. 53.</w:t>
      </w:r>
    </w:p>
  </w:footnote>
  <w:footnote w:id="4">
    <w:p w:rsidR="00E52A77" w:rsidRPr="00832C73" w:rsidRDefault="00E52A77" w:rsidP="00242252">
      <w:pPr>
        <w:pStyle w:val="Textonotapie"/>
        <w:rPr>
          <w:sz w:val="16"/>
          <w:szCs w:val="16"/>
        </w:rPr>
      </w:pPr>
      <w:r w:rsidRPr="00832C73">
        <w:rPr>
          <w:rStyle w:val="Refdenotaalpie"/>
          <w:sz w:val="16"/>
          <w:szCs w:val="16"/>
        </w:rPr>
        <w:footnoteRef/>
      </w:r>
      <w:r w:rsidRPr="00832C73">
        <w:rPr>
          <w:sz w:val="16"/>
          <w:szCs w:val="16"/>
        </w:rPr>
        <w:t xml:space="preserve"> </w:t>
      </w:r>
      <w:r w:rsidRPr="00832C73">
        <w:rPr>
          <w:b/>
          <w:bCs/>
          <w:sz w:val="16"/>
          <w:szCs w:val="16"/>
          <w:u w:val="single"/>
        </w:rPr>
        <w:t>Artículo 1</w:t>
      </w:r>
      <w:r>
        <w:rPr>
          <w:b/>
          <w:bCs/>
          <w:sz w:val="16"/>
          <w:szCs w:val="16"/>
          <w:u w:val="single"/>
        </w:rPr>
        <w:t>37º</w:t>
      </w:r>
      <w:r w:rsidRPr="00832C73">
        <w:rPr>
          <w:b/>
          <w:bCs/>
          <w:sz w:val="16"/>
          <w:szCs w:val="16"/>
          <w:u w:val="single"/>
        </w:rPr>
        <w:t xml:space="preserve"> del Reglamento</w:t>
      </w:r>
      <w:r w:rsidRPr="00832C73">
        <w:rPr>
          <w:sz w:val="16"/>
          <w:szCs w:val="16"/>
        </w:rPr>
        <w:t>:</w:t>
      </w:r>
    </w:p>
    <w:p w:rsidR="00E52A77" w:rsidRPr="00C644F1" w:rsidRDefault="00E52A77" w:rsidP="00242252">
      <w:pPr>
        <w:pStyle w:val="Textonotapie"/>
        <w:rPr>
          <w:sz w:val="16"/>
          <w:szCs w:val="16"/>
        </w:rPr>
      </w:pPr>
      <w:r w:rsidRPr="00C644F1">
        <w:rPr>
          <w:sz w:val="16"/>
          <w:szCs w:val="16"/>
        </w:rPr>
        <w:t xml:space="preserve">Una vez que la buena pro ha quedado consentida o administrativamente, tanto la Entidad como el o los postores ganadores, están obligados a suscribir el o los contratos respectivos. </w:t>
      </w:r>
    </w:p>
    <w:p w:rsidR="00E52A77" w:rsidRPr="00C644F1" w:rsidRDefault="00E52A77" w:rsidP="00242252">
      <w:pPr>
        <w:pStyle w:val="Textonotapie"/>
        <w:rPr>
          <w:sz w:val="16"/>
          <w:szCs w:val="16"/>
        </w:rPr>
      </w:pPr>
      <w:r w:rsidRPr="00C644F1">
        <w:rPr>
          <w:sz w:val="16"/>
          <w:szCs w:val="16"/>
        </w:rPr>
        <w:t>(…)</w:t>
      </w:r>
    </w:p>
    <w:p w:rsidR="00E52A77" w:rsidRDefault="00E52A77" w:rsidP="00242252">
      <w:pPr>
        <w:pStyle w:val="Textonotapie"/>
      </w:pPr>
      <w:r w:rsidRPr="00C644F1">
        <w:rPr>
          <w:sz w:val="16"/>
          <w:szCs w:val="16"/>
        </w:rPr>
        <w:t xml:space="preserve">En caso que el o los postores ganadores de la buena pro se nieguen a suscribir el contrato, serán pasibles de sanción, salvo imposibilidad física o jurídica sobrevenida al otorgamiento de la buena pro que no le es atribuible, declarada por el Tribunal. </w:t>
      </w:r>
    </w:p>
  </w:footnote>
  <w:footnote w:id="5">
    <w:p w:rsidR="00E52A77" w:rsidRDefault="00E52A77" w:rsidP="00242252">
      <w:pPr>
        <w:pStyle w:val="Textonotapie"/>
      </w:pPr>
      <w:r>
        <w:rPr>
          <w:rStyle w:val="Refdenotaalpie"/>
          <w:sz w:val="16"/>
          <w:szCs w:val="16"/>
        </w:rPr>
        <w:footnoteRef/>
      </w:r>
      <w:r>
        <w:rPr>
          <w:sz w:val="16"/>
          <w:szCs w:val="16"/>
        </w:rPr>
        <w:t xml:space="preserve"> Según el artículo 23 de la Ley, </w:t>
      </w:r>
      <w:r>
        <w:rPr>
          <w:i/>
          <w:iCs/>
          <w:sz w:val="16"/>
          <w:szCs w:val="16"/>
        </w:rPr>
        <w:t>“En el caso de la exoneración por emergencia, la Entidad queda exonerada de la tramitación del expediente administrativo y podrá ordenar la ejecución de lo estrictamente necesario para remediar el evento producido y satisfacer la necesidad sobrevenida, sin sujetarse a los requisitos formales del presente Decreto legislativo.</w:t>
      </w:r>
    </w:p>
  </w:footnote>
  <w:footnote w:id="6">
    <w:p w:rsidR="00E52A77" w:rsidRDefault="00E52A77" w:rsidP="00242252">
      <w:pPr>
        <w:pStyle w:val="Textonotapie"/>
      </w:pPr>
      <w:r>
        <w:rPr>
          <w:rStyle w:val="Refdenotaalpie"/>
        </w:rPr>
        <w:footnoteRef/>
      </w:r>
      <w:r>
        <w:t xml:space="preserve"> Documento obrante a fojas 76 del expediente administrativo.</w:t>
      </w:r>
    </w:p>
  </w:footnote>
  <w:footnote w:id="7">
    <w:p w:rsidR="00E52A77" w:rsidRDefault="00E52A77" w:rsidP="00242252">
      <w:pPr>
        <w:pStyle w:val="Textonotapie"/>
      </w:pPr>
      <w:r>
        <w:rPr>
          <w:rStyle w:val="Refdenotaalpie"/>
        </w:rPr>
        <w:footnoteRef/>
      </w:r>
      <w:r>
        <w:t xml:space="preserve"> Documento obrante a fojas 77 del expediente administrativo</w:t>
      </w:r>
    </w:p>
  </w:footnote>
  <w:footnote w:id="8">
    <w:p w:rsidR="00E52A77" w:rsidRPr="00E52A77" w:rsidRDefault="00E52A77" w:rsidP="00242252">
      <w:pPr>
        <w:pStyle w:val="Textonotapie"/>
        <w:ind w:left="142" w:hanging="142"/>
        <w:rPr>
          <w:b/>
          <w:bCs/>
          <w:sz w:val="16"/>
          <w:szCs w:val="16"/>
        </w:rPr>
      </w:pPr>
      <w:r w:rsidRPr="00196726">
        <w:rPr>
          <w:rStyle w:val="Refdenotaalpie"/>
          <w:i/>
          <w:iCs/>
          <w:sz w:val="16"/>
          <w:szCs w:val="16"/>
        </w:rPr>
        <w:footnoteRef/>
      </w:r>
      <w:r w:rsidRPr="00196726">
        <w:rPr>
          <w:b/>
          <w:bCs/>
          <w:i/>
          <w:iCs/>
          <w:sz w:val="16"/>
          <w:szCs w:val="16"/>
        </w:rPr>
        <w:t xml:space="preserve"> </w:t>
      </w:r>
      <w:r w:rsidRPr="00E52A77">
        <w:rPr>
          <w:b/>
          <w:bCs/>
          <w:sz w:val="16"/>
          <w:szCs w:val="16"/>
        </w:rPr>
        <w:t>Artículo 245.- Determinación gradual de la sanción.-</w:t>
      </w:r>
    </w:p>
    <w:p w:rsidR="00E52A77" w:rsidRPr="00E52A77" w:rsidRDefault="00E52A77" w:rsidP="00242252">
      <w:pPr>
        <w:pStyle w:val="Textonotapie"/>
        <w:ind w:left="142"/>
        <w:rPr>
          <w:sz w:val="16"/>
          <w:szCs w:val="16"/>
        </w:rPr>
      </w:pPr>
      <w:r w:rsidRPr="00E52A77">
        <w:rPr>
          <w:sz w:val="16"/>
          <w:szCs w:val="16"/>
        </w:rPr>
        <w:t>Para graduar la sanción a imponerse conforme a las disposiciones del presente Título, se considerarán los siguientes criterios:</w:t>
      </w:r>
    </w:p>
    <w:p w:rsidR="00E52A77" w:rsidRPr="00E52A77" w:rsidRDefault="00E52A77" w:rsidP="00242252">
      <w:pPr>
        <w:pStyle w:val="Textonotapie"/>
        <w:numPr>
          <w:ilvl w:val="0"/>
          <w:numId w:val="5"/>
        </w:numPr>
        <w:tabs>
          <w:tab w:val="clear" w:pos="644"/>
          <w:tab w:val="num" w:pos="284"/>
        </w:tabs>
        <w:ind w:left="284" w:firstLine="0"/>
        <w:jc w:val="left"/>
        <w:rPr>
          <w:sz w:val="16"/>
          <w:szCs w:val="16"/>
        </w:rPr>
      </w:pPr>
      <w:r w:rsidRPr="00E52A77">
        <w:rPr>
          <w:sz w:val="16"/>
          <w:szCs w:val="16"/>
        </w:rPr>
        <w:t>Naturaleza de la infracción.</w:t>
      </w:r>
    </w:p>
    <w:p w:rsidR="00E52A77" w:rsidRPr="00E52A77" w:rsidRDefault="00E52A77" w:rsidP="00242252">
      <w:pPr>
        <w:pStyle w:val="Textonotapie"/>
        <w:numPr>
          <w:ilvl w:val="0"/>
          <w:numId w:val="5"/>
        </w:numPr>
        <w:tabs>
          <w:tab w:val="clear" w:pos="644"/>
          <w:tab w:val="num" w:pos="284"/>
        </w:tabs>
        <w:ind w:left="284" w:firstLine="0"/>
        <w:jc w:val="left"/>
        <w:rPr>
          <w:sz w:val="16"/>
          <w:szCs w:val="16"/>
        </w:rPr>
      </w:pPr>
      <w:r w:rsidRPr="00E52A77">
        <w:rPr>
          <w:sz w:val="16"/>
          <w:szCs w:val="16"/>
        </w:rPr>
        <w:t>Intencionalidad del infractor.</w:t>
      </w:r>
    </w:p>
    <w:p w:rsidR="00E52A77" w:rsidRPr="00E52A77" w:rsidRDefault="00E52A77" w:rsidP="00242252">
      <w:pPr>
        <w:pStyle w:val="Textonotapie"/>
        <w:numPr>
          <w:ilvl w:val="0"/>
          <w:numId w:val="5"/>
        </w:numPr>
        <w:tabs>
          <w:tab w:val="clear" w:pos="644"/>
          <w:tab w:val="num" w:pos="284"/>
        </w:tabs>
        <w:ind w:left="284" w:firstLine="0"/>
        <w:jc w:val="left"/>
        <w:rPr>
          <w:sz w:val="16"/>
          <w:szCs w:val="16"/>
        </w:rPr>
      </w:pPr>
      <w:r w:rsidRPr="00E52A77">
        <w:rPr>
          <w:sz w:val="16"/>
          <w:szCs w:val="16"/>
        </w:rPr>
        <w:t>Daño causado.</w:t>
      </w:r>
    </w:p>
    <w:p w:rsidR="00E52A77" w:rsidRPr="00E52A77" w:rsidRDefault="00E52A77" w:rsidP="00242252">
      <w:pPr>
        <w:pStyle w:val="Textonotapie"/>
        <w:numPr>
          <w:ilvl w:val="0"/>
          <w:numId w:val="5"/>
        </w:numPr>
        <w:tabs>
          <w:tab w:val="clear" w:pos="644"/>
          <w:tab w:val="num" w:pos="284"/>
        </w:tabs>
        <w:ind w:left="284" w:firstLine="0"/>
        <w:jc w:val="left"/>
        <w:rPr>
          <w:sz w:val="16"/>
          <w:szCs w:val="16"/>
        </w:rPr>
      </w:pPr>
      <w:r w:rsidRPr="00E52A77">
        <w:rPr>
          <w:sz w:val="16"/>
          <w:szCs w:val="16"/>
        </w:rPr>
        <w:t>Reiterancia.</w:t>
      </w:r>
    </w:p>
    <w:p w:rsidR="00E52A77" w:rsidRPr="00E52A77" w:rsidRDefault="00E52A77" w:rsidP="00242252">
      <w:pPr>
        <w:pStyle w:val="Textonotapie"/>
        <w:numPr>
          <w:ilvl w:val="0"/>
          <w:numId w:val="5"/>
        </w:numPr>
        <w:tabs>
          <w:tab w:val="clear" w:pos="644"/>
          <w:tab w:val="num" w:pos="284"/>
        </w:tabs>
        <w:ind w:left="284" w:firstLine="0"/>
        <w:jc w:val="left"/>
        <w:rPr>
          <w:sz w:val="16"/>
          <w:szCs w:val="16"/>
        </w:rPr>
      </w:pPr>
      <w:r w:rsidRPr="00E52A77">
        <w:rPr>
          <w:sz w:val="16"/>
          <w:szCs w:val="16"/>
        </w:rPr>
        <w:t>El reconocimiento de la infracción cometida antes de que sea detectada.</w:t>
      </w:r>
    </w:p>
    <w:p w:rsidR="00E52A77" w:rsidRPr="00E52A77" w:rsidRDefault="00E52A77" w:rsidP="00242252">
      <w:pPr>
        <w:pStyle w:val="Textonotapie"/>
        <w:numPr>
          <w:ilvl w:val="0"/>
          <w:numId w:val="5"/>
        </w:numPr>
        <w:tabs>
          <w:tab w:val="clear" w:pos="644"/>
          <w:tab w:val="num" w:pos="284"/>
        </w:tabs>
        <w:ind w:left="284" w:firstLine="0"/>
        <w:jc w:val="left"/>
        <w:rPr>
          <w:sz w:val="16"/>
          <w:szCs w:val="16"/>
        </w:rPr>
      </w:pPr>
      <w:r w:rsidRPr="00E52A77">
        <w:rPr>
          <w:sz w:val="16"/>
          <w:szCs w:val="16"/>
        </w:rPr>
        <w:t>Circunstancias de tiempo, lugar y modo.</w:t>
      </w:r>
    </w:p>
    <w:p w:rsidR="00E52A77" w:rsidRPr="00E52A77" w:rsidRDefault="00E52A77" w:rsidP="00242252">
      <w:pPr>
        <w:pStyle w:val="Textonotapie"/>
        <w:numPr>
          <w:ilvl w:val="0"/>
          <w:numId w:val="5"/>
        </w:numPr>
        <w:tabs>
          <w:tab w:val="clear" w:pos="644"/>
          <w:tab w:val="num" w:pos="284"/>
        </w:tabs>
        <w:ind w:left="284" w:firstLine="0"/>
        <w:jc w:val="left"/>
        <w:rPr>
          <w:sz w:val="16"/>
          <w:szCs w:val="16"/>
        </w:rPr>
      </w:pPr>
      <w:r w:rsidRPr="00E52A77">
        <w:rPr>
          <w:sz w:val="16"/>
          <w:szCs w:val="16"/>
        </w:rPr>
        <w:t>Condiciones del infractor.</w:t>
      </w:r>
    </w:p>
    <w:p w:rsidR="00E52A77" w:rsidRPr="00196726" w:rsidRDefault="00E52A77" w:rsidP="00242252">
      <w:pPr>
        <w:pStyle w:val="Textonotapie"/>
        <w:numPr>
          <w:ilvl w:val="0"/>
          <w:numId w:val="5"/>
        </w:numPr>
        <w:tabs>
          <w:tab w:val="clear" w:pos="644"/>
          <w:tab w:val="num" w:pos="284"/>
        </w:tabs>
        <w:ind w:left="284" w:firstLine="0"/>
        <w:jc w:val="left"/>
        <w:rPr>
          <w:sz w:val="16"/>
          <w:szCs w:val="16"/>
        </w:rPr>
      </w:pPr>
      <w:r w:rsidRPr="00196726">
        <w:rPr>
          <w:sz w:val="16"/>
          <w:szCs w:val="16"/>
        </w:rPr>
        <w:t>Conducta procesal del infractor.</w:t>
      </w:r>
    </w:p>
    <w:p w:rsidR="00E52A77" w:rsidRDefault="00E52A77" w:rsidP="003115C4">
      <w:pPr>
        <w:pStyle w:val="Textonotapie"/>
        <w:ind w:left="284"/>
        <w:jc w:val="left"/>
      </w:pPr>
    </w:p>
  </w:footnote>
  <w:footnote w:id="9">
    <w:p w:rsidR="00E52A77" w:rsidRPr="00713CED" w:rsidRDefault="00E52A77" w:rsidP="00242252">
      <w:pPr>
        <w:pStyle w:val="Textonotapie"/>
        <w:tabs>
          <w:tab w:val="left" w:pos="360"/>
        </w:tabs>
        <w:ind w:left="360" w:hanging="360"/>
        <w:rPr>
          <w:i/>
          <w:iCs/>
          <w:sz w:val="16"/>
          <w:szCs w:val="16"/>
        </w:rPr>
      </w:pPr>
      <w:r w:rsidRPr="00713CED">
        <w:rPr>
          <w:rStyle w:val="Refdenotaalpie"/>
          <w:i/>
          <w:iCs/>
          <w:sz w:val="16"/>
          <w:szCs w:val="16"/>
        </w:rPr>
        <w:footnoteRef/>
      </w:r>
      <w:r w:rsidRPr="00713CED">
        <w:rPr>
          <w:i/>
          <w:iCs/>
          <w:sz w:val="16"/>
          <w:szCs w:val="16"/>
        </w:rPr>
        <w:t xml:space="preserve">  “</w:t>
      </w:r>
      <w:r w:rsidRPr="00713CED">
        <w:rPr>
          <w:b/>
          <w:bCs/>
          <w:i/>
          <w:iCs/>
          <w:sz w:val="16"/>
          <w:szCs w:val="16"/>
        </w:rPr>
        <w:t>Artículo 230.- Principios de la potestad sancionadora</w:t>
      </w:r>
    </w:p>
    <w:p w:rsidR="00E52A77" w:rsidRPr="00713CED" w:rsidRDefault="00E52A77" w:rsidP="00242252">
      <w:pPr>
        <w:pStyle w:val="Textonotapie"/>
        <w:tabs>
          <w:tab w:val="left" w:pos="360"/>
        </w:tabs>
        <w:ind w:left="360" w:hanging="360"/>
        <w:rPr>
          <w:i/>
          <w:iCs/>
          <w:sz w:val="16"/>
          <w:szCs w:val="16"/>
        </w:rPr>
      </w:pPr>
      <w:r w:rsidRPr="00713CED">
        <w:rPr>
          <w:i/>
          <w:iCs/>
          <w:sz w:val="16"/>
          <w:szCs w:val="16"/>
        </w:rPr>
        <w:tab/>
        <w:t>(…)</w:t>
      </w:r>
    </w:p>
    <w:p w:rsidR="00E52A77" w:rsidRPr="00713CED" w:rsidRDefault="00E52A77" w:rsidP="00242252">
      <w:pPr>
        <w:pStyle w:val="Textonotapie"/>
        <w:tabs>
          <w:tab w:val="left" w:pos="360"/>
        </w:tabs>
        <w:ind w:left="360" w:hanging="360"/>
        <w:rPr>
          <w:i/>
          <w:iCs/>
          <w:sz w:val="16"/>
          <w:szCs w:val="16"/>
        </w:rPr>
      </w:pPr>
      <w:r w:rsidRPr="00713CED">
        <w:rPr>
          <w:b/>
          <w:bCs/>
          <w:i/>
          <w:iCs/>
          <w:sz w:val="16"/>
          <w:szCs w:val="16"/>
        </w:rPr>
        <w:tab/>
        <w:t>3. Razonabilidad</w:t>
      </w:r>
      <w:r w:rsidRPr="00713CED">
        <w:rPr>
          <w:i/>
          <w:iCs/>
          <w:sz w:val="16"/>
          <w:szCs w:val="16"/>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E52A77" w:rsidRDefault="00E52A77" w:rsidP="00242252">
      <w:pPr>
        <w:pStyle w:val="Textonotapie"/>
        <w:tabs>
          <w:tab w:val="left" w:pos="360"/>
        </w:tabs>
        <w:ind w:left="360" w:hanging="360"/>
      </w:pPr>
      <w:r w:rsidRPr="00713CED">
        <w:rPr>
          <w:i/>
          <w:iCs/>
          <w:sz w:val="16"/>
          <w:szCs w:val="16"/>
        </w:rPr>
        <w:tab/>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37F" w:rsidRDefault="0026437F" w:rsidP="0026437F">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6437F" w:rsidRDefault="0026437F" w:rsidP="0026437F">
    <w:pPr>
      <w:pStyle w:val="Encabezado"/>
      <w:rPr>
        <w:noProof/>
      </w:rPr>
    </w:pPr>
  </w:p>
  <w:p w:rsidR="0026437F" w:rsidRDefault="0026437F" w:rsidP="0026437F">
    <w:pPr>
      <w:pStyle w:val="Encabezado"/>
      <w:jc w:val="center"/>
      <w:rPr>
        <w:rFonts w:ascii="Monotype Corsiva" w:hAnsi="Monotype Corsiva"/>
        <w:b/>
        <w:sz w:val="44"/>
        <w:szCs w:val="44"/>
      </w:rPr>
    </w:pPr>
  </w:p>
  <w:p w:rsidR="0026437F" w:rsidRDefault="0026437F" w:rsidP="0026437F">
    <w:pPr>
      <w:pStyle w:val="Encabezado"/>
      <w:jc w:val="center"/>
    </w:pPr>
    <w:r>
      <w:rPr>
        <w:rFonts w:ascii="Monotype Corsiva" w:hAnsi="Monotype Corsiva"/>
        <w:b/>
        <w:sz w:val="44"/>
        <w:szCs w:val="44"/>
      </w:rPr>
      <w:t xml:space="preserve">Resolución Nº   </w:t>
    </w:r>
    <w:r>
      <w:rPr>
        <w:rFonts w:ascii="Tahoma" w:hAnsi="Tahoma" w:cs="Tahoma"/>
        <w:b/>
        <w:sz w:val="44"/>
        <w:szCs w:val="44"/>
      </w:rPr>
      <w:t>987-2011-TC-S1</w:t>
    </w:r>
  </w:p>
  <w:p w:rsidR="0026437F" w:rsidRDefault="0026437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4BD2"/>
    <w:multiLevelType w:val="hybridMultilevel"/>
    <w:tmpl w:val="E8C089DC"/>
    <w:lvl w:ilvl="0" w:tplc="0C0A0019">
      <w:start w:val="1"/>
      <w:numFmt w:val="lowerLetter"/>
      <w:lvlText w:val="%1."/>
      <w:lvlJc w:val="left"/>
      <w:pPr>
        <w:ind w:left="1260" w:hanging="360"/>
      </w:pPr>
    </w:lvl>
    <w:lvl w:ilvl="1" w:tplc="0C0A0019">
      <w:start w:val="1"/>
      <w:numFmt w:val="lowerLetter"/>
      <w:lvlText w:val="%2."/>
      <w:lvlJc w:val="left"/>
      <w:pPr>
        <w:ind w:left="1980" w:hanging="360"/>
      </w:pPr>
    </w:lvl>
    <w:lvl w:ilvl="2" w:tplc="0C0A001B">
      <w:start w:val="1"/>
      <w:numFmt w:val="lowerRoman"/>
      <w:lvlText w:val="%3."/>
      <w:lvlJc w:val="right"/>
      <w:pPr>
        <w:ind w:left="2700" w:hanging="180"/>
      </w:pPr>
    </w:lvl>
    <w:lvl w:ilvl="3" w:tplc="0C0A000F">
      <w:start w:val="1"/>
      <w:numFmt w:val="decimal"/>
      <w:lvlText w:val="%4."/>
      <w:lvlJc w:val="left"/>
      <w:pPr>
        <w:ind w:left="3420" w:hanging="360"/>
      </w:pPr>
    </w:lvl>
    <w:lvl w:ilvl="4" w:tplc="0C0A0019">
      <w:start w:val="1"/>
      <w:numFmt w:val="lowerLetter"/>
      <w:lvlText w:val="%5."/>
      <w:lvlJc w:val="left"/>
      <w:pPr>
        <w:ind w:left="4140" w:hanging="360"/>
      </w:pPr>
    </w:lvl>
    <w:lvl w:ilvl="5" w:tplc="0C0A001B">
      <w:start w:val="1"/>
      <w:numFmt w:val="lowerRoman"/>
      <w:lvlText w:val="%6."/>
      <w:lvlJc w:val="right"/>
      <w:pPr>
        <w:ind w:left="4860" w:hanging="180"/>
      </w:pPr>
    </w:lvl>
    <w:lvl w:ilvl="6" w:tplc="0C0A000F">
      <w:start w:val="1"/>
      <w:numFmt w:val="decimal"/>
      <w:lvlText w:val="%7."/>
      <w:lvlJc w:val="left"/>
      <w:pPr>
        <w:ind w:left="5580" w:hanging="360"/>
      </w:pPr>
    </w:lvl>
    <w:lvl w:ilvl="7" w:tplc="0C0A0019">
      <w:start w:val="1"/>
      <w:numFmt w:val="lowerLetter"/>
      <w:lvlText w:val="%8."/>
      <w:lvlJc w:val="left"/>
      <w:pPr>
        <w:ind w:left="6300" w:hanging="360"/>
      </w:pPr>
    </w:lvl>
    <w:lvl w:ilvl="8" w:tplc="0C0A001B">
      <w:start w:val="1"/>
      <w:numFmt w:val="lowerRoman"/>
      <w:lvlText w:val="%9."/>
      <w:lvlJc w:val="right"/>
      <w:pPr>
        <w:ind w:left="7020" w:hanging="180"/>
      </w:pPr>
    </w:lvl>
  </w:abstractNum>
  <w:abstractNum w:abstractNumId="1">
    <w:nsid w:val="09F24358"/>
    <w:multiLevelType w:val="hybridMultilevel"/>
    <w:tmpl w:val="38627852"/>
    <w:lvl w:ilvl="0" w:tplc="593EFBF6">
      <w:start w:val="1"/>
      <w:numFmt w:val="decimal"/>
      <w:lvlText w:val="%1."/>
      <w:lvlJc w:val="left"/>
      <w:pPr>
        <w:tabs>
          <w:tab w:val="num" w:pos="720"/>
        </w:tabs>
        <w:ind w:left="720" w:hanging="360"/>
      </w:pPr>
      <w:rPr>
        <w:rFonts w:hint="default"/>
        <w:b/>
        <w:bCs/>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0D89661A"/>
    <w:multiLevelType w:val="hybridMultilevel"/>
    <w:tmpl w:val="28442342"/>
    <w:lvl w:ilvl="0" w:tplc="05107F02">
      <w:start w:val="1"/>
      <w:numFmt w:val="decimal"/>
      <w:lvlText w:val="%1."/>
      <w:lvlJc w:val="left"/>
      <w:pPr>
        <w:tabs>
          <w:tab w:val="num" w:pos="454"/>
        </w:tabs>
        <w:ind w:left="454" w:hanging="454"/>
      </w:pPr>
      <w:rPr>
        <w:rFonts w:ascii="Tahoma" w:hAnsi="Tahoma" w:hint="default"/>
        <w:b/>
        <w:bCs/>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31D60A9"/>
    <w:multiLevelType w:val="hybridMultilevel"/>
    <w:tmpl w:val="1A801A96"/>
    <w:lvl w:ilvl="0" w:tplc="AAC2829A">
      <w:start w:val="1"/>
      <w:numFmt w:val="decimal"/>
      <w:lvlText w:val="%1."/>
      <w:lvlJc w:val="left"/>
      <w:pPr>
        <w:tabs>
          <w:tab w:val="num" w:pos="720"/>
        </w:tabs>
        <w:ind w:left="720" w:hanging="360"/>
      </w:pPr>
      <w:rPr>
        <w:b/>
        <w:bCs/>
      </w:rPr>
    </w:lvl>
    <w:lvl w:ilvl="1" w:tplc="64268118">
      <w:start w:val="1"/>
      <w:numFmt w:val="bullet"/>
      <w:lvlText w:val=""/>
      <w:lvlJc w:val="left"/>
      <w:pPr>
        <w:tabs>
          <w:tab w:val="num" w:pos="1440"/>
        </w:tabs>
        <w:ind w:left="1440"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9922362"/>
    <w:multiLevelType w:val="hybridMultilevel"/>
    <w:tmpl w:val="40DC9F46"/>
    <w:lvl w:ilvl="0" w:tplc="0C0A0013">
      <w:start w:val="1"/>
      <w:numFmt w:val="upp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5">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6">
    <w:nsid w:val="2A604CF2"/>
    <w:multiLevelType w:val="hybridMultilevel"/>
    <w:tmpl w:val="46802A76"/>
    <w:lvl w:ilvl="0" w:tplc="52E8E292">
      <w:start w:val="1"/>
      <w:numFmt w:val="decimal"/>
      <w:lvlText w:val="%1)"/>
      <w:lvlJc w:val="left"/>
      <w:pPr>
        <w:tabs>
          <w:tab w:val="num" w:pos="644"/>
        </w:tabs>
        <w:ind w:left="644" w:hanging="360"/>
      </w:pPr>
      <w:rPr>
        <w:rFonts w:hint="default"/>
        <w:b w:val="0"/>
        <w:bCs w:val="0"/>
        <w:i/>
        <w:iCs/>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328C59F9"/>
    <w:multiLevelType w:val="hybridMultilevel"/>
    <w:tmpl w:val="C6286CCA"/>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8">
    <w:nsid w:val="51B8397D"/>
    <w:multiLevelType w:val="hybridMultilevel"/>
    <w:tmpl w:val="0A70C0FA"/>
    <w:lvl w:ilvl="0" w:tplc="6FB00CFE">
      <w:start w:val="1"/>
      <w:numFmt w:val="lowerRoman"/>
      <w:lvlText w:val="%1)"/>
      <w:lvlJc w:val="left"/>
      <w:pPr>
        <w:tabs>
          <w:tab w:val="num" w:pos="1080"/>
        </w:tabs>
        <w:ind w:left="1080" w:hanging="720"/>
      </w:pPr>
    </w:lvl>
    <w:lvl w:ilvl="1" w:tplc="E30A9E44">
      <w:start w:val="1"/>
      <w:numFmt w:val="decimal"/>
      <w:lvlText w:val="%2."/>
      <w:lvlJc w:val="left"/>
      <w:pPr>
        <w:tabs>
          <w:tab w:val="num" w:pos="1080"/>
        </w:tabs>
        <w:ind w:left="1080" w:hanging="360"/>
      </w:pPr>
      <w:rPr>
        <w:b/>
        <w:bCs/>
        <w:i w:val="0"/>
        <w:iCs w:val="0"/>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nsid w:val="678235A8"/>
    <w:multiLevelType w:val="hybridMultilevel"/>
    <w:tmpl w:val="63CE349A"/>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2"/>
  </w:num>
  <w:num w:numId="2">
    <w:abstractNumId w:val="9"/>
  </w:num>
  <w:num w:numId="3">
    <w:abstractNumId w:val="5"/>
  </w:num>
  <w:num w:numId="4">
    <w:abstractNumId w:val="0"/>
  </w:num>
  <w:num w:numId="5">
    <w:abstractNumId w:val="6"/>
  </w:num>
  <w:num w:numId="6">
    <w:abstractNumId w:val="7"/>
  </w:num>
  <w:num w:numId="7">
    <w:abstractNumId w:val="4"/>
  </w:num>
  <w:num w:numId="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242252"/>
    <w:rsid w:val="00242252"/>
    <w:rsid w:val="0026437F"/>
    <w:rsid w:val="003115C4"/>
    <w:rsid w:val="003A6CA9"/>
    <w:rsid w:val="004133A8"/>
    <w:rsid w:val="00430289"/>
    <w:rsid w:val="00455AD5"/>
    <w:rsid w:val="00501FF6"/>
    <w:rsid w:val="0066645E"/>
    <w:rsid w:val="0096071E"/>
    <w:rsid w:val="00AA20E7"/>
    <w:rsid w:val="00CE3F3A"/>
    <w:rsid w:val="00DE6770"/>
    <w:rsid w:val="00E52A7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252"/>
    <w:rPr>
      <w:rFonts w:ascii="Calibri" w:eastAsia="Calibri" w:hAnsi="Calibri" w:cs="Times New Roman"/>
    </w:rPr>
  </w:style>
  <w:style w:type="paragraph" w:styleId="Ttulo2">
    <w:name w:val="heading 2"/>
    <w:basedOn w:val="Normal"/>
    <w:next w:val="Normal"/>
    <w:link w:val="Ttulo2Car"/>
    <w:qFormat/>
    <w:rsid w:val="00242252"/>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242252"/>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42252"/>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242252"/>
    <w:rPr>
      <w:rFonts w:ascii="Arial" w:eastAsia="Calibri" w:hAnsi="Arial" w:cs="Arial"/>
      <w:b/>
      <w:bCs/>
      <w:sz w:val="26"/>
      <w:szCs w:val="26"/>
    </w:rPr>
  </w:style>
  <w:style w:type="paragraph" w:styleId="Textoindependiente3">
    <w:name w:val="Body Text 3"/>
    <w:basedOn w:val="Normal"/>
    <w:link w:val="Textoindependiente3Car"/>
    <w:semiHidden/>
    <w:unhideWhenUsed/>
    <w:rsid w:val="00242252"/>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242252"/>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242252"/>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242252"/>
    <w:pPr>
      <w:tabs>
        <w:tab w:val="center" w:pos="4252"/>
        <w:tab w:val="right" w:pos="8504"/>
      </w:tabs>
    </w:pPr>
  </w:style>
  <w:style w:type="character" w:customStyle="1" w:styleId="PiedepginaCar">
    <w:name w:val="Pie de página Car"/>
    <w:basedOn w:val="Fuentedeprrafopredeter"/>
    <w:link w:val="Piedepgina"/>
    <w:uiPriority w:val="99"/>
    <w:rsid w:val="00242252"/>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242252"/>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242252"/>
    <w:rPr>
      <w:rFonts w:ascii="Tahoma" w:eastAsia="Calibri" w:hAnsi="Tahoma" w:cs="Tahoma"/>
      <w:sz w:val="20"/>
      <w:szCs w:val="20"/>
    </w:rPr>
  </w:style>
  <w:style w:type="character" w:styleId="Refdenotaalpie">
    <w:name w:val="footnote reference"/>
    <w:basedOn w:val="Fuentedeprrafopredeter"/>
    <w:uiPriority w:val="99"/>
    <w:semiHidden/>
    <w:rsid w:val="00242252"/>
    <w:rPr>
      <w:vertAlign w:val="superscript"/>
    </w:rPr>
  </w:style>
  <w:style w:type="paragraph" w:styleId="Textoindependiente">
    <w:name w:val="Body Text"/>
    <w:basedOn w:val="Normal"/>
    <w:link w:val="TextoindependienteCar"/>
    <w:uiPriority w:val="99"/>
    <w:semiHidden/>
    <w:unhideWhenUsed/>
    <w:rsid w:val="00242252"/>
    <w:pPr>
      <w:spacing w:after="120"/>
    </w:pPr>
  </w:style>
  <w:style w:type="character" w:customStyle="1" w:styleId="TextoindependienteCar">
    <w:name w:val="Texto independiente Car"/>
    <w:basedOn w:val="Fuentedeprrafopredeter"/>
    <w:link w:val="Textoindependiente"/>
    <w:uiPriority w:val="99"/>
    <w:semiHidden/>
    <w:rsid w:val="00242252"/>
    <w:rPr>
      <w:rFonts w:ascii="Calibri" w:eastAsia="Calibri" w:hAnsi="Calibri" w:cs="Times New Roman"/>
    </w:rPr>
  </w:style>
  <w:style w:type="paragraph" w:styleId="Encabezado">
    <w:name w:val="header"/>
    <w:aliases w:val="maria,h"/>
    <w:basedOn w:val="Normal"/>
    <w:link w:val="EncabezadoCar"/>
    <w:uiPriority w:val="99"/>
    <w:semiHidden/>
    <w:unhideWhenUsed/>
    <w:rsid w:val="0026437F"/>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26437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44114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4113</Words>
  <Characters>22623</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6</cp:revision>
  <cp:lastPrinted>2011-06-08T20:07:00Z</cp:lastPrinted>
  <dcterms:created xsi:type="dcterms:W3CDTF">2011-06-08T16:55:00Z</dcterms:created>
  <dcterms:modified xsi:type="dcterms:W3CDTF">2011-07-22T20:26:00Z</dcterms:modified>
</cp:coreProperties>
</file>